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C0BC1" w14:textId="77777777" w:rsidR="004D337E" w:rsidRPr="009E0207" w:rsidRDefault="004D337E" w:rsidP="004D337E">
      <w:pPr>
        <w:spacing w:after="0" w:line="240" w:lineRule="auto"/>
        <w:jc w:val="center"/>
        <w:rPr>
          <w:rFonts w:ascii="Times New Roman" w:eastAsia="Times New Roman" w:hAnsi="Times New Roman" w:cs="Times New Roman"/>
          <w:b/>
          <w:sz w:val="24"/>
          <w:szCs w:val="24"/>
          <w:lang w:eastAsia="lv-LV"/>
        </w:rPr>
      </w:pPr>
      <w:bookmarkStart w:id="0" w:name="_GoBack"/>
      <w:bookmarkEnd w:id="0"/>
      <w:r w:rsidRPr="009E0207">
        <w:rPr>
          <w:rFonts w:ascii="Times New Roman" w:eastAsia="Times New Roman" w:hAnsi="Times New Roman" w:cs="Times New Roman"/>
          <w:b/>
          <w:sz w:val="24"/>
          <w:szCs w:val="24"/>
          <w:lang w:eastAsia="lv-LV"/>
        </w:rPr>
        <w:t>Izziņa par atzinumos sniegtajiem iebildumiem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958"/>
      </w:tblGrid>
      <w:tr w:rsidR="004D337E" w:rsidRPr="009E0207" w14:paraId="02B7A4BF" w14:textId="77777777" w:rsidTr="004D337E">
        <w:trPr>
          <w:trHeight w:val="150"/>
          <w:tblCellSpacing w:w="15" w:type="dxa"/>
        </w:trPr>
        <w:tc>
          <w:tcPr>
            <w:tcW w:w="0" w:type="auto"/>
            <w:tcBorders>
              <w:bottom w:val="single" w:sz="6" w:space="0" w:color="auto"/>
            </w:tcBorders>
            <w:hideMark/>
          </w:tcPr>
          <w:p w14:paraId="65FBAA0D" w14:textId="77777777" w:rsidR="004D337E" w:rsidRPr="009E0207" w:rsidRDefault="004D337E" w:rsidP="004D337E">
            <w:pPr>
              <w:spacing w:after="0" w:line="240" w:lineRule="auto"/>
              <w:rPr>
                <w:rFonts w:ascii="Times New Roman" w:eastAsia="Times New Roman" w:hAnsi="Times New Roman" w:cs="Times New Roman"/>
                <w:b/>
                <w:sz w:val="24"/>
                <w:szCs w:val="24"/>
                <w:lang w:eastAsia="lv-LV"/>
              </w:rPr>
            </w:pPr>
            <w:r w:rsidRPr="009E0207">
              <w:rPr>
                <w:rFonts w:ascii="Times New Roman" w:eastAsia="Times New Roman" w:hAnsi="Times New Roman" w:cs="Times New Roman"/>
                <w:b/>
                <w:sz w:val="24"/>
                <w:szCs w:val="24"/>
                <w:lang w:eastAsia="lv-LV"/>
              </w:rPr>
              <w:t> </w:t>
            </w:r>
            <w:r w:rsidR="009E0207">
              <w:rPr>
                <w:rFonts w:ascii="Times New Roman" w:eastAsia="Times New Roman" w:hAnsi="Times New Roman" w:cs="Times New Roman"/>
                <w:b/>
                <w:sz w:val="24"/>
                <w:szCs w:val="24"/>
                <w:lang w:eastAsia="lv-LV"/>
              </w:rPr>
              <w:t>“</w:t>
            </w:r>
            <w:r w:rsidRPr="009E0207">
              <w:rPr>
                <w:rFonts w:ascii="Times New Roman" w:eastAsia="Times New Roman" w:hAnsi="Times New Roman" w:cs="Times New Roman"/>
                <w:b/>
                <w:sz w:val="24"/>
                <w:szCs w:val="24"/>
                <w:lang w:eastAsia="lv-LV"/>
              </w:rPr>
              <w:t>Grozījumiem Ministru kabineta 2014. gada 26. augusta noteikumos Nr. 508 “Kārtība, kādā veidojams, finansējams un sagatavojams Latvijas Nacionālo bruņoto spēku kontingents, kas piedalās starptautiskajās operācijās un ātrās reaģēšanas spēkos”</w:t>
            </w:r>
            <w:r w:rsidR="009E0207">
              <w:rPr>
                <w:rFonts w:ascii="Times New Roman" w:eastAsia="Times New Roman" w:hAnsi="Times New Roman" w:cs="Times New Roman"/>
                <w:b/>
                <w:sz w:val="24"/>
                <w:szCs w:val="24"/>
                <w:lang w:eastAsia="lv-LV"/>
              </w:rPr>
              <w:t>”</w:t>
            </w:r>
          </w:p>
        </w:tc>
      </w:tr>
    </w:tbl>
    <w:p w14:paraId="5A37ECB5" w14:textId="77777777" w:rsidR="004D337E" w:rsidRPr="004D337E" w:rsidRDefault="004D337E" w:rsidP="004D33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t>I. Jautājumi, par kuriem saskaņošanā vienošanās nav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3036"/>
        <w:gridCol w:w="3035"/>
        <w:gridCol w:w="2897"/>
        <w:gridCol w:w="2348"/>
        <w:gridCol w:w="1816"/>
      </w:tblGrid>
      <w:tr w:rsidR="004D337E" w:rsidRPr="004D337E" w14:paraId="05AD3CF8" w14:textId="77777777" w:rsidTr="001F7E0F">
        <w:trPr>
          <w:tblCellSpacing w:w="15" w:type="dxa"/>
        </w:trPr>
        <w:tc>
          <w:tcPr>
            <w:tcW w:w="274" w:type="pct"/>
            <w:tcBorders>
              <w:top w:val="outset" w:sz="6" w:space="0" w:color="auto"/>
              <w:left w:val="outset" w:sz="6" w:space="0" w:color="auto"/>
              <w:bottom w:val="outset" w:sz="6" w:space="0" w:color="auto"/>
              <w:right w:val="outset" w:sz="6" w:space="0" w:color="auto"/>
            </w:tcBorders>
            <w:noWrap/>
            <w:vAlign w:val="center"/>
            <w:hideMark/>
          </w:tcPr>
          <w:p w14:paraId="2E80B3E0"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proofErr w:type="spellStart"/>
            <w:r w:rsidRPr="004D337E">
              <w:rPr>
                <w:rFonts w:ascii="Times New Roman" w:eastAsia="Times New Roman" w:hAnsi="Times New Roman" w:cs="Times New Roman"/>
                <w:sz w:val="24"/>
                <w:szCs w:val="24"/>
                <w:lang w:eastAsia="lv-LV"/>
              </w:rPr>
              <w:t>Nr.p.k</w:t>
            </w:r>
            <w:proofErr w:type="spellEnd"/>
            <w:r w:rsidRPr="004D337E">
              <w:rPr>
                <w:rFonts w:ascii="Times New Roman" w:eastAsia="Times New Roman" w:hAnsi="Times New Roman" w:cs="Times New Roman"/>
                <w:sz w:val="24"/>
                <w:szCs w:val="24"/>
                <w:lang w:eastAsia="lv-LV"/>
              </w:rPr>
              <w:t>.</w:t>
            </w:r>
          </w:p>
        </w:tc>
        <w:tc>
          <w:tcPr>
            <w:tcW w:w="1078" w:type="pct"/>
            <w:tcBorders>
              <w:top w:val="outset" w:sz="6" w:space="0" w:color="auto"/>
              <w:left w:val="outset" w:sz="6" w:space="0" w:color="auto"/>
              <w:bottom w:val="outset" w:sz="6" w:space="0" w:color="auto"/>
              <w:right w:val="outset" w:sz="6" w:space="0" w:color="auto"/>
            </w:tcBorders>
            <w:vAlign w:val="center"/>
            <w:hideMark/>
          </w:tcPr>
          <w:p w14:paraId="1A8153DF"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Saskaņošanai nosūtītā projekta redakcija (konkrēta punkta (panta) redakcija)</w:t>
            </w:r>
          </w:p>
        </w:tc>
        <w:tc>
          <w:tcPr>
            <w:tcW w:w="1078" w:type="pct"/>
            <w:tcBorders>
              <w:top w:val="outset" w:sz="6" w:space="0" w:color="auto"/>
              <w:left w:val="outset" w:sz="6" w:space="0" w:color="auto"/>
              <w:bottom w:val="outset" w:sz="6" w:space="0" w:color="auto"/>
              <w:right w:val="outset" w:sz="6" w:space="0" w:color="auto"/>
            </w:tcBorders>
            <w:vAlign w:val="center"/>
            <w:hideMark/>
          </w:tcPr>
          <w:p w14:paraId="6E7B4E07"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29" w:type="pct"/>
            <w:tcBorders>
              <w:top w:val="outset" w:sz="6" w:space="0" w:color="auto"/>
              <w:left w:val="outset" w:sz="6" w:space="0" w:color="auto"/>
              <w:bottom w:val="outset" w:sz="6" w:space="0" w:color="auto"/>
              <w:right w:val="outset" w:sz="6" w:space="0" w:color="auto"/>
            </w:tcBorders>
            <w:vAlign w:val="center"/>
            <w:hideMark/>
          </w:tcPr>
          <w:p w14:paraId="0B6D4F58"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Atbildīgās ministrijas pamatojums iebilduma noraidījumam</w:t>
            </w:r>
          </w:p>
        </w:tc>
        <w:tc>
          <w:tcPr>
            <w:tcW w:w="832" w:type="pct"/>
            <w:tcBorders>
              <w:top w:val="outset" w:sz="6" w:space="0" w:color="auto"/>
              <w:left w:val="outset" w:sz="6" w:space="0" w:color="auto"/>
              <w:bottom w:val="outset" w:sz="6" w:space="0" w:color="auto"/>
              <w:right w:val="outset" w:sz="6" w:space="0" w:color="auto"/>
            </w:tcBorders>
            <w:vAlign w:val="center"/>
            <w:hideMark/>
          </w:tcPr>
          <w:p w14:paraId="7B898C8D"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35" w:type="pct"/>
            <w:tcBorders>
              <w:top w:val="outset" w:sz="6" w:space="0" w:color="auto"/>
              <w:left w:val="outset" w:sz="6" w:space="0" w:color="auto"/>
              <w:bottom w:val="outset" w:sz="6" w:space="0" w:color="auto"/>
              <w:right w:val="outset" w:sz="6" w:space="0" w:color="auto"/>
            </w:tcBorders>
            <w:vAlign w:val="center"/>
            <w:hideMark/>
          </w:tcPr>
          <w:p w14:paraId="66E1F628"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Projekta attiecīgā punkta (panta) galīgā redakcija</w:t>
            </w:r>
          </w:p>
        </w:tc>
      </w:tr>
      <w:tr w:rsidR="004D337E" w:rsidRPr="004D337E" w14:paraId="5EDFAD88" w14:textId="77777777" w:rsidTr="001F7E0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6208A0CD"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14:paraId="000DC6D9"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2</w:t>
            </w:r>
          </w:p>
        </w:tc>
        <w:tc>
          <w:tcPr>
            <w:tcW w:w="1078" w:type="pct"/>
            <w:tcBorders>
              <w:top w:val="outset" w:sz="6" w:space="0" w:color="auto"/>
              <w:left w:val="outset" w:sz="6" w:space="0" w:color="auto"/>
              <w:bottom w:val="outset" w:sz="6" w:space="0" w:color="auto"/>
              <w:right w:val="outset" w:sz="6" w:space="0" w:color="auto"/>
            </w:tcBorders>
            <w:hideMark/>
          </w:tcPr>
          <w:p w14:paraId="2B92154D"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3</w:t>
            </w:r>
          </w:p>
        </w:tc>
        <w:tc>
          <w:tcPr>
            <w:tcW w:w="1029" w:type="pct"/>
            <w:tcBorders>
              <w:top w:val="outset" w:sz="6" w:space="0" w:color="auto"/>
              <w:left w:val="outset" w:sz="6" w:space="0" w:color="auto"/>
              <w:bottom w:val="outset" w:sz="6" w:space="0" w:color="auto"/>
              <w:right w:val="outset" w:sz="6" w:space="0" w:color="auto"/>
            </w:tcBorders>
            <w:hideMark/>
          </w:tcPr>
          <w:p w14:paraId="1E47F3BB"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4</w:t>
            </w:r>
          </w:p>
        </w:tc>
        <w:tc>
          <w:tcPr>
            <w:tcW w:w="832" w:type="pct"/>
            <w:tcBorders>
              <w:top w:val="outset" w:sz="6" w:space="0" w:color="auto"/>
              <w:left w:val="outset" w:sz="6" w:space="0" w:color="auto"/>
              <w:bottom w:val="outset" w:sz="6" w:space="0" w:color="auto"/>
              <w:right w:val="outset" w:sz="6" w:space="0" w:color="auto"/>
            </w:tcBorders>
            <w:hideMark/>
          </w:tcPr>
          <w:p w14:paraId="495E1C5B"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5</w:t>
            </w:r>
          </w:p>
        </w:tc>
        <w:tc>
          <w:tcPr>
            <w:tcW w:w="635" w:type="pct"/>
            <w:tcBorders>
              <w:top w:val="outset" w:sz="6" w:space="0" w:color="auto"/>
              <w:left w:val="outset" w:sz="6" w:space="0" w:color="auto"/>
              <w:bottom w:val="outset" w:sz="6" w:space="0" w:color="auto"/>
              <w:right w:val="outset" w:sz="6" w:space="0" w:color="auto"/>
            </w:tcBorders>
            <w:hideMark/>
          </w:tcPr>
          <w:p w14:paraId="3A72BD94"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6</w:t>
            </w:r>
          </w:p>
        </w:tc>
      </w:tr>
      <w:tr w:rsidR="004D337E" w:rsidRPr="004D337E" w14:paraId="44C9AD25" w14:textId="77777777" w:rsidTr="001F7E0F">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46112148"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78" w:type="pct"/>
            <w:tcBorders>
              <w:top w:val="outset" w:sz="6" w:space="0" w:color="auto"/>
              <w:left w:val="outset" w:sz="6" w:space="0" w:color="auto"/>
              <w:bottom w:val="outset" w:sz="6" w:space="0" w:color="auto"/>
              <w:right w:val="outset" w:sz="6" w:space="0" w:color="auto"/>
            </w:tcBorders>
            <w:hideMark/>
          </w:tcPr>
          <w:p w14:paraId="1A36B00F"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78" w:type="pct"/>
            <w:tcBorders>
              <w:top w:val="outset" w:sz="6" w:space="0" w:color="auto"/>
              <w:left w:val="outset" w:sz="6" w:space="0" w:color="auto"/>
              <w:bottom w:val="outset" w:sz="6" w:space="0" w:color="auto"/>
              <w:right w:val="outset" w:sz="6" w:space="0" w:color="auto"/>
            </w:tcBorders>
            <w:hideMark/>
          </w:tcPr>
          <w:p w14:paraId="3F0CEE50"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29" w:type="pct"/>
            <w:tcBorders>
              <w:top w:val="outset" w:sz="6" w:space="0" w:color="auto"/>
              <w:left w:val="outset" w:sz="6" w:space="0" w:color="auto"/>
              <w:bottom w:val="outset" w:sz="6" w:space="0" w:color="auto"/>
              <w:right w:val="outset" w:sz="6" w:space="0" w:color="auto"/>
            </w:tcBorders>
            <w:hideMark/>
          </w:tcPr>
          <w:p w14:paraId="6E1F5C1C"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832" w:type="pct"/>
            <w:tcBorders>
              <w:top w:val="outset" w:sz="6" w:space="0" w:color="auto"/>
              <w:left w:val="outset" w:sz="6" w:space="0" w:color="auto"/>
              <w:bottom w:val="outset" w:sz="6" w:space="0" w:color="auto"/>
              <w:right w:val="outset" w:sz="6" w:space="0" w:color="auto"/>
            </w:tcBorders>
            <w:hideMark/>
          </w:tcPr>
          <w:p w14:paraId="441D9156"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635" w:type="pct"/>
            <w:tcBorders>
              <w:top w:val="outset" w:sz="6" w:space="0" w:color="auto"/>
              <w:left w:val="outset" w:sz="6" w:space="0" w:color="auto"/>
              <w:bottom w:val="outset" w:sz="6" w:space="0" w:color="auto"/>
              <w:right w:val="outset" w:sz="6" w:space="0" w:color="auto"/>
            </w:tcBorders>
            <w:hideMark/>
          </w:tcPr>
          <w:p w14:paraId="3D5D7120"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14:paraId="08043A17" w14:textId="77777777" w:rsidR="004D337E" w:rsidRPr="004D337E" w:rsidRDefault="004D337E" w:rsidP="004D337E">
      <w:pPr>
        <w:spacing w:before="100" w:beforeAutospacing="1" w:after="100" w:afterAutospacing="1" w:line="240" w:lineRule="auto"/>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t>Informācija par starpministriju (starpinstitūciju) sanāksmi vai elektronisko saskaņošanu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76"/>
        <w:gridCol w:w="8882"/>
      </w:tblGrid>
      <w:tr w:rsidR="004D337E" w:rsidRPr="004D337E" w14:paraId="4B9127A7" w14:textId="77777777" w:rsidTr="004D337E">
        <w:trPr>
          <w:tblCellSpacing w:w="15" w:type="dxa"/>
        </w:trPr>
        <w:tc>
          <w:tcPr>
            <w:tcW w:w="1802" w:type="pct"/>
            <w:noWrap/>
            <w:vAlign w:val="bottom"/>
            <w:hideMark/>
          </w:tcPr>
          <w:p w14:paraId="2535291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Datums</w:t>
            </w:r>
          </w:p>
        </w:tc>
        <w:tc>
          <w:tcPr>
            <w:tcW w:w="3166" w:type="pct"/>
            <w:tcBorders>
              <w:bottom w:val="single" w:sz="6" w:space="0" w:color="auto"/>
            </w:tcBorders>
            <w:hideMark/>
          </w:tcPr>
          <w:p w14:paraId="03757188"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35B594A1" w14:textId="77777777" w:rsidTr="004D337E">
        <w:trPr>
          <w:tblCellSpacing w:w="15" w:type="dxa"/>
        </w:trPr>
        <w:tc>
          <w:tcPr>
            <w:tcW w:w="1802" w:type="pct"/>
            <w:noWrap/>
            <w:vAlign w:val="bottom"/>
            <w:hideMark/>
          </w:tcPr>
          <w:p w14:paraId="1AAB02D1"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Saskaņošanas dalībnieki</w:t>
            </w:r>
          </w:p>
        </w:tc>
        <w:tc>
          <w:tcPr>
            <w:tcW w:w="3166" w:type="pct"/>
            <w:tcBorders>
              <w:bottom w:val="single" w:sz="6" w:space="0" w:color="auto"/>
            </w:tcBorders>
            <w:hideMark/>
          </w:tcPr>
          <w:p w14:paraId="2D97DAE7"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14:paraId="1213AD9F" w14:textId="77777777" w:rsidR="004D337E" w:rsidRPr="004D337E" w:rsidRDefault="004D337E" w:rsidP="004D337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40"/>
        <w:gridCol w:w="8818"/>
      </w:tblGrid>
      <w:tr w:rsidR="004D337E" w:rsidRPr="004D337E" w14:paraId="0D03B607" w14:textId="77777777" w:rsidTr="004D337E">
        <w:trPr>
          <w:trHeight w:val="300"/>
          <w:tblCellSpacing w:w="15" w:type="dxa"/>
        </w:trPr>
        <w:tc>
          <w:tcPr>
            <w:tcW w:w="1825" w:type="pct"/>
            <w:vAlign w:val="bottom"/>
            <w:hideMark/>
          </w:tcPr>
          <w:p w14:paraId="17F86B08"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Saskaņošanas dalībnieki izskatīja šādu ministriju (citu institūciju) iebildumus</w:t>
            </w:r>
          </w:p>
        </w:tc>
        <w:tc>
          <w:tcPr>
            <w:tcW w:w="3143" w:type="pct"/>
            <w:tcBorders>
              <w:bottom w:val="single" w:sz="6" w:space="0" w:color="auto"/>
            </w:tcBorders>
            <w:hideMark/>
          </w:tcPr>
          <w:p w14:paraId="302EC336"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w:t>
            </w:r>
            <w:r w:rsidR="00A06103">
              <w:rPr>
                <w:rFonts w:ascii="Times New Roman" w:eastAsia="Times New Roman" w:hAnsi="Times New Roman" w:cs="Times New Roman"/>
                <w:sz w:val="24"/>
                <w:szCs w:val="24"/>
                <w:lang w:eastAsia="lv-LV"/>
              </w:rPr>
              <w:t xml:space="preserve"> 28.09.2018. vēstulē Nr.1-9.1/1134 izteiktie</w:t>
            </w:r>
            <w:r>
              <w:rPr>
                <w:rFonts w:ascii="Times New Roman" w:eastAsia="Times New Roman" w:hAnsi="Times New Roman" w:cs="Times New Roman"/>
                <w:sz w:val="24"/>
                <w:szCs w:val="24"/>
                <w:lang w:eastAsia="lv-LV"/>
              </w:rPr>
              <w:t xml:space="preserve"> iebildumi</w:t>
            </w:r>
            <w:r w:rsidR="00A06103">
              <w:rPr>
                <w:rFonts w:ascii="Times New Roman" w:eastAsia="Times New Roman" w:hAnsi="Times New Roman" w:cs="Times New Roman"/>
                <w:sz w:val="24"/>
                <w:szCs w:val="24"/>
                <w:lang w:eastAsia="lv-LV"/>
              </w:rPr>
              <w:t xml:space="preserve">; </w:t>
            </w:r>
            <w:r w:rsidR="00A06103" w:rsidRPr="008E31C9">
              <w:rPr>
                <w:rFonts w:ascii="Times New Roman" w:eastAsia="Times New Roman" w:hAnsi="Times New Roman" w:cs="Times New Roman"/>
                <w:sz w:val="24"/>
                <w:szCs w:val="24"/>
                <w:lang w:eastAsia="lv-LV"/>
              </w:rPr>
              <w:t>ņemti vērā arī Tieslietu ministrijas 03.04.2019. e-pastā sniegtie priekšlikumi saistībā ar Aizsardzības ministrijas 28.03.2019. vēstuli Nr. MV-N/780.</w:t>
            </w:r>
          </w:p>
        </w:tc>
      </w:tr>
      <w:tr w:rsidR="004D337E" w:rsidRPr="004D337E" w14:paraId="14F57C02" w14:textId="77777777" w:rsidTr="004D337E">
        <w:trPr>
          <w:trHeight w:val="300"/>
          <w:tblCellSpacing w:w="15" w:type="dxa"/>
        </w:trPr>
        <w:tc>
          <w:tcPr>
            <w:tcW w:w="1825" w:type="pct"/>
            <w:vAlign w:val="bottom"/>
            <w:hideMark/>
          </w:tcPr>
          <w:p w14:paraId="626AE1FD"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143" w:type="pct"/>
            <w:tcBorders>
              <w:bottom w:val="single" w:sz="6" w:space="0" w:color="auto"/>
            </w:tcBorders>
            <w:hideMark/>
          </w:tcPr>
          <w:p w14:paraId="396C90A2"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14:paraId="28A31472" w14:textId="77777777" w:rsidR="004D337E" w:rsidRPr="004D337E" w:rsidRDefault="004D337E" w:rsidP="004D33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lastRenderedPageBreak/>
        <w:t>II. Jautājumi, par kuriem saskaņošanā vienošanās ir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2405"/>
        <w:gridCol w:w="4378"/>
        <w:gridCol w:w="4581"/>
        <w:gridCol w:w="1769"/>
      </w:tblGrid>
      <w:tr w:rsidR="00C5408B" w:rsidRPr="004D337E" w14:paraId="479AEA2F" w14:textId="77777777" w:rsidTr="007E69C9">
        <w:trPr>
          <w:tblCellSpacing w:w="15" w:type="dxa"/>
        </w:trPr>
        <w:tc>
          <w:tcPr>
            <w:tcW w:w="274" w:type="pct"/>
            <w:tcBorders>
              <w:top w:val="outset" w:sz="6" w:space="0" w:color="auto"/>
              <w:left w:val="outset" w:sz="6" w:space="0" w:color="auto"/>
              <w:bottom w:val="outset" w:sz="6" w:space="0" w:color="auto"/>
              <w:right w:val="outset" w:sz="6" w:space="0" w:color="auto"/>
            </w:tcBorders>
            <w:noWrap/>
            <w:vAlign w:val="center"/>
            <w:hideMark/>
          </w:tcPr>
          <w:p w14:paraId="13542A57"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proofErr w:type="spellStart"/>
            <w:r w:rsidRPr="004D337E">
              <w:rPr>
                <w:rFonts w:ascii="Times New Roman" w:eastAsia="Times New Roman" w:hAnsi="Times New Roman" w:cs="Times New Roman"/>
                <w:sz w:val="24"/>
                <w:szCs w:val="24"/>
                <w:lang w:eastAsia="lv-LV"/>
              </w:rPr>
              <w:t>Nr.p.k</w:t>
            </w:r>
            <w:proofErr w:type="spellEnd"/>
            <w:r w:rsidRPr="004D337E">
              <w:rPr>
                <w:rFonts w:ascii="Times New Roman" w:eastAsia="Times New Roman" w:hAnsi="Times New Roman" w:cs="Times New Roman"/>
                <w:sz w:val="24"/>
                <w:szCs w:val="24"/>
                <w:lang w:eastAsia="lv-LV"/>
              </w:rPr>
              <w:t>.</w:t>
            </w:r>
          </w:p>
        </w:tc>
        <w:tc>
          <w:tcPr>
            <w:tcW w:w="876" w:type="pct"/>
            <w:tcBorders>
              <w:top w:val="outset" w:sz="6" w:space="0" w:color="auto"/>
              <w:left w:val="outset" w:sz="6" w:space="0" w:color="auto"/>
              <w:bottom w:val="outset" w:sz="6" w:space="0" w:color="auto"/>
              <w:right w:val="outset" w:sz="6" w:space="0" w:color="auto"/>
            </w:tcBorders>
            <w:vAlign w:val="center"/>
            <w:hideMark/>
          </w:tcPr>
          <w:p w14:paraId="1EE905AD"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Saskaņošanai nosūtītā projekta redakcija (konkrēta punkta (panta) redakcija)</w:t>
            </w:r>
          </w:p>
        </w:tc>
        <w:tc>
          <w:tcPr>
            <w:tcW w:w="1571" w:type="pct"/>
            <w:tcBorders>
              <w:top w:val="outset" w:sz="6" w:space="0" w:color="auto"/>
              <w:left w:val="outset" w:sz="6" w:space="0" w:color="auto"/>
              <w:bottom w:val="outset" w:sz="6" w:space="0" w:color="auto"/>
              <w:right w:val="outset" w:sz="6" w:space="0" w:color="auto"/>
            </w:tcBorders>
            <w:vAlign w:val="center"/>
            <w:hideMark/>
          </w:tcPr>
          <w:p w14:paraId="6C8B8EEB"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644" w:type="pct"/>
            <w:tcBorders>
              <w:top w:val="outset" w:sz="6" w:space="0" w:color="auto"/>
              <w:left w:val="outset" w:sz="6" w:space="0" w:color="auto"/>
              <w:bottom w:val="outset" w:sz="6" w:space="0" w:color="auto"/>
              <w:right w:val="outset" w:sz="6" w:space="0" w:color="auto"/>
            </w:tcBorders>
            <w:vAlign w:val="center"/>
            <w:hideMark/>
          </w:tcPr>
          <w:p w14:paraId="40F6BBBE"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570" w:type="pct"/>
            <w:tcBorders>
              <w:top w:val="outset" w:sz="6" w:space="0" w:color="auto"/>
              <w:left w:val="outset" w:sz="6" w:space="0" w:color="auto"/>
              <w:bottom w:val="outset" w:sz="6" w:space="0" w:color="auto"/>
              <w:right w:val="outset" w:sz="6" w:space="0" w:color="auto"/>
            </w:tcBorders>
            <w:vAlign w:val="center"/>
            <w:hideMark/>
          </w:tcPr>
          <w:p w14:paraId="548D30EE"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Projekta attiecīgā punkta (panta) galīgā redakcija</w:t>
            </w:r>
          </w:p>
        </w:tc>
      </w:tr>
      <w:tr w:rsidR="00C5408B" w:rsidRPr="004D337E" w14:paraId="70831EE9" w14:textId="77777777" w:rsidTr="007E69C9">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D16F11B"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1</w:t>
            </w:r>
          </w:p>
        </w:tc>
        <w:tc>
          <w:tcPr>
            <w:tcW w:w="876" w:type="pct"/>
            <w:tcBorders>
              <w:top w:val="outset" w:sz="6" w:space="0" w:color="auto"/>
              <w:left w:val="outset" w:sz="6" w:space="0" w:color="auto"/>
              <w:bottom w:val="outset" w:sz="6" w:space="0" w:color="auto"/>
              <w:right w:val="outset" w:sz="6" w:space="0" w:color="auto"/>
            </w:tcBorders>
            <w:hideMark/>
          </w:tcPr>
          <w:p w14:paraId="142C5F18"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2</w:t>
            </w:r>
          </w:p>
        </w:tc>
        <w:tc>
          <w:tcPr>
            <w:tcW w:w="1571" w:type="pct"/>
            <w:tcBorders>
              <w:top w:val="outset" w:sz="6" w:space="0" w:color="auto"/>
              <w:left w:val="outset" w:sz="6" w:space="0" w:color="auto"/>
              <w:bottom w:val="outset" w:sz="6" w:space="0" w:color="auto"/>
              <w:right w:val="outset" w:sz="6" w:space="0" w:color="auto"/>
            </w:tcBorders>
            <w:hideMark/>
          </w:tcPr>
          <w:p w14:paraId="0548DDBC"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576F29BF"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4</w:t>
            </w:r>
          </w:p>
        </w:tc>
        <w:tc>
          <w:tcPr>
            <w:tcW w:w="570" w:type="pct"/>
            <w:tcBorders>
              <w:top w:val="outset" w:sz="6" w:space="0" w:color="auto"/>
              <w:left w:val="outset" w:sz="6" w:space="0" w:color="auto"/>
              <w:bottom w:val="outset" w:sz="6" w:space="0" w:color="auto"/>
              <w:right w:val="outset" w:sz="6" w:space="0" w:color="auto"/>
            </w:tcBorders>
            <w:hideMark/>
          </w:tcPr>
          <w:p w14:paraId="5EA163EB"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5</w:t>
            </w:r>
          </w:p>
        </w:tc>
      </w:tr>
      <w:tr w:rsidR="00C5408B" w:rsidRPr="004D337E" w14:paraId="2C6D1291" w14:textId="77777777" w:rsidTr="007E69C9">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7145CA1A" w14:textId="77777777" w:rsidR="00D559F1" w:rsidRPr="004D337E" w:rsidRDefault="00D559F1" w:rsidP="00D559F1">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w:t>
            </w:r>
          </w:p>
        </w:tc>
        <w:tc>
          <w:tcPr>
            <w:tcW w:w="876" w:type="pct"/>
            <w:tcBorders>
              <w:top w:val="outset" w:sz="6" w:space="0" w:color="auto"/>
              <w:left w:val="outset" w:sz="6" w:space="0" w:color="auto"/>
              <w:bottom w:val="outset" w:sz="6" w:space="0" w:color="auto"/>
              <w:right w:val="outset" w:sz="6" w:space="0" w:color="auto"/>
            </w:tcBorders>
            <w:hideMark/>
          </w:tcPr>
          <w:p w14:paraId="1D673238" w14:textId="77777777" w:rsidR="00D559F1" w:rsidRPr="00D45F60" w:rsidRDefault="00D45F60" w:rsidP="00D559F1">
            <w:pPr>
              <w:pStyle w:val="NormalWeb"/>
              <w:spacing w:before="0" w:after="0"/>
              <w:ind w:right="11"/>
              <w:jc w:val="both"/>
              <w:rPr>
                <w:rFonts w:eastAsia="Calibri"/>
                <w:lang w:val="lv-LV" w:eastAsia="en-US"/>
              </w:rPr>
            </w:pPr>
            <w:r w:rsidRPr="00D45F60">
              <w:rPr>
                <w:rFonts w:eastAsia="Calibri"/>
                <w:b/>
                <w:lang w:val="lv-LV" w:eastAsia="en-US"/>
              </w:rPr>
              <w:t>1. izteikt 8. punktu šādā redakcijā: “</w:t>
            </w:r>
            <w:r w:rsidR="00D559F1" w:rsidRPr="000740EE">
              <w:rPr>
                <w:rFonts w:eastAsia="Calibri"/>
                <w:lang w:val="lv-LV" w:eastAsia="en-US"/>
              </w:rPr>
              <w:t>8.</w:t>
            </w:r>
            <w:r w:rsidR="00D559F1" w:rsidRPr="000740EE">
              <w:rPr>
                <w:rFonts w:eastAsia="Calibri"/>
                <w:iCs/>
                <w:lang w:val="lv-LV" w:eastAsia="en-US"/>
              </w:rPr>
              <w:t xml:space="preserve"> Starptautiskās operācijas rajonā reprezentācijas pasākumiem paredzēto līdzekļu apmērs (vienai starptautiskajai operācijai) </w:t>
            </w:r>
            <w:r w:rsidR="00D559F1" w:rsidRPr="00D559F1">
              <w:rPr>
                <w:lang w:val="lv-LV"/>
              </w:rPr>
              <w:t>nepārsniedz</w:t>
            </w:r>
            <w:r w:rsidR="00D559F1" w:rsidRPr="000740EE">
              <w:rPr>
                <w:rFonts w:eastAsia="Calibri"/>
                <w:iCs/>
                <w:lang w:val="lv-LV" w:eastAsia="en-US"/>
              </w:rPr>
              <w:t xml:space="preserve"> 800 </w:t>
            </w:r>
            <w:proofErr w:type="spellStart"/>
            <w:r w:rsidR="00D559F1" w:rsidRPr="000740EE">
              <w:rPr>
                <w:rFonts w:eastAsia="Calibri"/>
                <w:i/>
                <w:iCs/>
                <w:lang w:val="lv-LV" w:eastAsia="en-US"/>
              </w:rPr>
              <w:t>euro</w:t>
            </w:r>
            <w:proofErr w:type="spellEnd"/>
            <w:r w:rsidR="00D559F1" w:rsidRPr="000740EE">
              <w:rPr>
                <w:rFonts w:eastAsia="Calibri"/>
                <w:iCs/>
                <w:lang w:val="lv-LV" w:eastAsia="en-US"/>
              </w:rPr>
              <w:t xml:space="preserve">, </w:t>
            </w:r>
            <w:r w:rsidR="00D559F1" w:rsidRPr="00F423BC">
              <w:rPr>
                <w:rFonts w:eastAsia="Calibri"/>
                <w:iCs/>
                <w:lang w:val="lv-LV" w:eastAsia="en-US"/>
              </w:rPr>
              <w:t xml:space="preserve">ko atkarībā no misijā iesaistītā kontingenta personu skaita palielina par pieciem </w:t>
            </w:r>
            <w:proofErr w:type="spellStart"/>
            <w:r w:rsidR="00D559F1" w:rsidRPr="00F423BC">
              <w:rPr>
                <w:rFonts w:eastAsia="Calibri"/>
                <w:i/>
                <w:iCs/>
                <w:lang w:val="lv-LV" w:eastAsia="en-US"/>
              </w:rPr>
              <w:t>euro</w:t>
            </w:r>
            <w:proofErr w:type="spellEnd"/>
            <w:r w:rsidR="00D559F1" w:rsidRPr="00F423BC">
              <w:rPr>
                <w:rFonts w:eastAsia="Calibri"/>
                <w:iCs/>
                <w:lang w:val="lv-LV" w:eastAsia="en-US"/>
              </w:rPr>
              <w:t xml:space="preserve"> uz katru profesionālā dienesta karavīru un zemessargu</w:t>
            </w:r>
            <w:r w:rsidR="00D559F1" w:rsidRPr="000740EE">
              <w:rPr>
                <w:rFonts w:eastAsia="Calibri"/>
                <w:iCs/>
                <w:lang w:val="lv-LV" w:eastAsia="en-US"/>
              </w:rPr>
              <w:t>.</w:t>
            </w:r>
            <w:r>
              <w:rPr>
                <w:rFonts w:eastAsia="Calibri"/>
                <w:iCs/>
                <w:lang w:val="lv-LV" w:eastAsia="en-US"/>
              </w:rPr>
              <w:t>”</w:t>
            </w:r>
          </w:p>
        </w:tc>
        <w:tc>
          <w:tcPr>
            <w:tcW w:w="1571" w:type="pct"/>
            <w:tcBorders>
              <w:top w:val="outset" w:sz="6" w:space="0" w:color="auto"/>
              <w:left w:val="outset" w:sz="6" w:space="0" w:color="auto"/>
              <w:bottom w:val="outset" w:sz="6" w:space="0" w:color="auto"/>
              <w:right w:val="outset" w:sz="6" w:space="0" w:color="auto"/>
            </w:tcBorders>
            <w:hideMark/>
          </w:tcPr>
          <w:p w14:paraId="1AFE620B" w14:textId="77777777" w:rsidR="00D559F1" w:rsidRPr="00D559F1" w:rsidRDefault="00D559F1" w:rsidP="00D559F1">
            <w:pPr>
              <w:pStyle w:val="NormalWeb"/>
              <w:spacing w:before="0" w:after="0"/>
              <w:ind w:right="11"/>
              <w:jc w:val="both"/>
              <w:rPr>
                <w:b/>
                <w:lang w:val="lv-LV"/>
              </w:rPr>
            </w:pPr>
            <w:r w:rsidRPr="00D559F1">
              <w:rPr>
                <w:b/>
                <w:lang w:val="lv-LV"/>
              </w:rPr>
              <w:t>Tieslietu ministrija</w:t>
            </w:r>
          </w:p>
          <w:p w14:paraId="2C03EF5A" w14:textId="77777777" w:rsidR="00D559F1" w:rsidRPr="00F8523B" w:rsidRDefault="00D559F1" w:rsidP="00D559F1">
            <w:pPr>
              <w:pStyle w:val="NormalWeb"/>
              <w:spacing w:before="0" w:after="0"/>
              <w:ind w:right="11"/>
              <w:jc w:val="both"/>
              <w:rPr>
                <w:lang w:val="lv-LV"/>
              </w:rPr>
            </w:pPr>
            <w:r w:rsidRPr="00F8523B">
              <w:rPr>
                <w:lang w:val="lv-LV"/>
              </w:rPr>
              <w:t>1. Projektu paredzēts izdot saskaņā ar likuma "Latvijas Nacionālo bruņoto spēku piedalīšanās starptautiskajās operācijās" 6. pantu. Proti, Ministru kabinets nosaka kārtību, kādā veidojams, finansējams un sagatavojams Latvijas Nacionālo bruņoto spēku kontingents, kas piedalās starptautiskajās operācijās un ātrās reaģēšanas spēkos. Tādējādi Ministru kabinets var noteikt arī kārtību, kādā finansējams Latvijas Nacionālo bruņoto spēku kontingents, kas piedalās starptautiskajās operācijās un ātrās reaģēšanas spēkos.</w:t>
            </w:r>
          </w:p>
          <w:p w14:paraId="2E0221BE" w14:textId="77777777" w:rsidR="00D559F1" w:rsidRPr="00F8523B" w:rsidRDefault="00D559F1" w:rsidP="00D559F1">
            <w:pPr>
              <w:pStyle w:val="NormalWeb"/>
              <w:spacing w:before="0" w:after="0"/>
              <w:ind w:right="11" w:firstLine="720"/>
              <w:jc w:val="both"/>
              <w:rPr>
                <w:lang w:val="lv-LV"/>
              </w:rPr>
            </w:pPr>
            <w:r w:rsidRPr="00F8523B">
              <w:rPr>
                <w:lang w:val="lv-LV"/>
              </w:rPr>
              <w:t xml:space="preserve">Jēdziens "kārtība" norāda uz Ministru kabineta noteikumu procesuālo raksturu, proti, noteiktas procedūras (norises īstenošanas veida, darbības organizācijas) izstrādāšanu. Vispārīgi ar to saprotama pieļaujamība noteikt iesniedzamo </w:t>
            </w:r>
            <w:r w:rsidRPr="00F8523B">
              <w:rPr>
                <w:lang w:val="lv-LV"/>
              </w:rPr>
              <w:lastRenderedPageBreak/>
              <w:t>dokumentu veidus, to izvērtēšanas procesu, dažādus procesuāla rakstura termiņus un tamlīdzīga rakstura jautājumus (sk., piemēram, Satversmes tiesas 2013. gada 27. jūnija sprieduma lietā Nr. 2012-22-0103 18. punktu, Satversmes tiesas 2016. gada 2. marta sprieduma lietā Nr. 2015-11-03 23.3. punktu). Atlīdzības vai finansējuma noteikšanas kārtība normatīvajos aktos tiek nošķirta no apmēra (sal. sk., piemēram, Valsts un pašvaldību institūciju amatpersonu un darbinieku atlīdzības likuma 7.</w:t>
            </w:r>
            <w:r w:rsidRPr="00F8523B">
              <w:rPr>
                <w:vertAlign w:val="superscript"/>
                <w:lang w:val="lv-LV"/>
              </w:rPr>
              <w:t>1</w:t>
            </w:r>
            <w:r w:rsidRPr="00F8523B">
              <w:rPr>
                <w:lang w:val="lv-LV"/>
              </w:rPr>
              <w:t> panta pirmo daļu).</w:t>
            </w:r>
          </w:p>
          <w:p w14:paraId="22D54BE5" w14:textId="77777777" w:rsidR="00D559F1" w:rsidRPr="00F8523B" w:rsidRDefault="00D559F1" w:rsidP="00D559F1">
            <w:pPr>
              <w:pStyle w:val="NormalWeb"/>
              <w:spacing w:before="0" w:after="0"/>
              <w:ind w:right="11" w:firstLine="720"/>
              <w:jc w:val="both"/>
              <w:rPr>
                <w:lang w:val="lv-LV"/>
              </w:rPr>
            </w:pPr>
            <w:r w:rsidRPr="00F8523B">
              <w:rPr>
                <w:lang w:val="lv-LV"/>
              </w:rPr>
              <w:t>Neskatoties uz to, ka Ministru kabineta 2014. gada 26. augusta noteikumu Nr. 508 "Kārtība, kādā veidojams, finansējams un sagatavojams Latvijas Nacionālo bruņoto spēku kontingents, kas piedalās starptautiskajās operācijās un ātrās reaģēšanas spēkos" 8. punktā ir noteikts līdzīgs regulējums, lūdzam izvērtēt projekta 1. punkta atbilstību pilnvarojuma apjomam un tā nepieciešamību.</w:t>
            </w:r>
          </w:p>
          <w:p w14:paraId="6BCD49CF" w14:textId="77777777" w:rsidR="00D559F1" w:rsidRPr="00F8523B" w:rsidRDefault="00D559F1" w:rsidP="00D559F1">
            <w:pPr>
              <w:pStyle w:val="NormalWeb"/>
              <w:spacing w:before="0" w:after="0"/>
              <w:ind w:right="11" w:firstLine="720"/>
              <w:jc w:val="both"/>
              <w:rPr>
                <w:i/>
                <w:lang w:val="lv-LV"/>
              </w:rPr>
            </w:pPr>
            <w:r w:rsidRPr="00F8523B">
              <w:rPr>
                <w:lang w:val="lv-LV"/>
              </w:rPr>
              <w:t>Reprezentācijas izdevumu detalizēts regulējums</w:t>
            </w:r>
            <w:r>
              <w:rPr>
                <w:lang w:val="lv-LV"/>
              </w:rPr>
              <w:t xml:space="preserve"> ārējos normatīvajos aktos </w:t>
            </w:r>
            <w:r w:rsidRPr="00F8523B">
              <w:rPr>
                <w:lang w:val="lv-LV"/>
              </w:rPr>
              <w:t>kopumā nav raksturīgs valsts pārvaldei (</w:t>
            </w:r>
            <w:proofErr w:type="spellStart"/>
            <w:r w:rsidRPr="00F8523B">
              <w:rPr>
                <w:i/>
                <w:lang w:val="lv-LV"/>
              </w:rPr>
              <w:t>Heinola</w:t>
            </w:r>
            <w:proofErr w:type="spellEnd"/>
            <w:r w:rsidRPr="00F8523B">
              <w:rPr>
                <w:i/>
                <w:lang w:val="lv-LV"/>
              </w:rPr>
              <w:t xml:space="preserve"> S. Kur reglamentēti budžeta iestāžu reprezentācijas izdevumi? 21.05.2014., </w:t>
            </w:r>
            <w:hyperlink r:id="rId7" w:history="1">
              <w:r w:rsidRPr="000F7380">
                <w:rPr>
                  <w:rStyle w:val="Hyperlink"/>
                  <w:i/>
                  <w:lang w:val="lv-LV"/>
                </w:rPr>
                <w:t>https://ifinanses.lv</w:t>
              </w:r>
            </w:hyperlink>
            <w:r w:rsidRPr="00F8523B">
              <w:rPr>
                <w:lang w:val="lv-LV"/>
              </w:rPr>
              <w:t xml:space="preserve">). Kā </w:t>
            </w:r>
            <w:r>
              <w:rPr>
                <w:lang w:val="lv-LV"/>
              </w:rPr>
              <w:t xml:space="preserve">liecina </w:t>
            </w:r>
            <w:r w:rsidRPr="00F8523B">
              <w:rPr>
                <w:lang w:val="lv-LV"/>
              </w:rPr>
              <w:lastRenderedPageBreak/>
              <w:t xml:space="preserve">projekta anotācijā iekļautais pamatojums, tad precīza reprezentācijas pasākumiem paredzēto līdzekļu apmēru noteikšana agrāk vai vēlāk rada nepieciešamību grozīt normatīvo aktu. Līdz ar to nepieciešams izvērtēt, kāpēc šajā gadījumā ir nepieciešams </w:t>
            </w:r>
            <w:r>
              <w:rPr>
                <w:lang w:val="lv-LV"/>
              </w:rPr>
              <w:t xml:space="preserve">ārējā </w:t>
            </w:r>
            <w:r w:rsidRPr="00F8523B">
              <w:rPr>
                <w:lang w:val="lv-LV"/>
              </w:rPr>
              <w:t>normatīv</w:t>
            </w:r>
            <w:r>
              <w:rPr>
                <w:lang w:val="lv-LV"/>
              </w:rPr>
              <w:t xml:space="preserve">ajā aktā </w:t>
            </w:r>
            <w:r w:rsidRPr="00F8523B">
              <w:rPr>
                <w:lang w:val="lv-LV"/>
              </w:rPr>
              <w:t>regulēt projekta 1. punktā paredzēto jautājumu.</w:t>
            </w:r>
          </w:p>
          <w:p w14:paraId="3D957E30" w14:textId="77777777" w:rsidR="00D559F1" w:rsidRPr="000740EE" w:rsidRDefault="00D559F1" w:rsidP="00D559F1">
            <w:pPr>
              <w:pStyle w:val="NormalWeb"/>
              <w:spacing w:before="0" w:after="0"/>
              <w:ind w:right="11" w:firstLine="720"/>
              <w:jc w:val="both"/>
              <w:rPr>
                <w:lang w:val="lv-LV"/>
              </w:rPr>
            </w:pPr>
            <w:r w:rsidRPr="00F8523B">
              <w:rPr>
                <w:lang w:val="lv-LV"/>
              </w:rPr>
              <w:t>Ievērojot minēto, lūdzam precizēt projektu vai ietvert attiecīgu skaidrojumu projekta anotācijā.</w:t>
            </w:r>
          </w:p>
        </w:tc>
        <w:tc>
          <w:tcPr>
            <w:tcW w:w="1644" w:type="pct"/>
            <w:tcBorders>
              <w:top w:val="outset" w:sz="6" w:space="0" w:color="auto"/>
              <w:left w:val="outset" w:sz="6" w:space="0" w:color="auto"/>
              <w:bottom w:val="outset" w:sz="6" w:space="0" w:color="auto"/>
              <w:right w:val="outset" w:sz="6" w:space="0" w:color="auto"/>
            </w:tcBorders>
            <w:hideMark/>
          </w:tcPr>
          <w:p w14:paraId="2B16D82C" w14:textId="77777777" w:rsidR="00D559F1" w:rsidRPr="00D559F1" w:rsidRDefault="00D559F1" w:rsidP="00D559F1">
            <w:pPr>
              <w:spacing w:after="0" w:line="240" w:lineRule="auto"/>
              <w:rPr>
                <w:rFonts w:ascii="Times New Roman" w:eastAsia="Times New Roman" w:hAnsi="Times New Roman" w:cs="Times New Roman"/>
                <w:b/>
                <w:sz w:val="24"/>
                <w:szCs w:val="24"/>
                <w:lang w:eastAsia="lv-LV"/>
              </w:rPr>
            </w:pPr>
            <w:r w:rsidRPr="00D559F1">
              <w:rPr>
                <w:rFonts w:ascii="Times New Roman" w:eastAsia="Times New Roman" w:hAnsi="Times New Roman" w:cs="Times New Roman"/>
                <w:b/>
                <w:sz w:val="24"/>
                <w:szCs w:val="24"/>
                <w:lang w:eastAsia="lv-LV"/>
              </w:rPr>
              <w:lastRenderedPageBreak/>
              <w:t>Daļēji ņemts vērā</w:t>
            </w:r>
            <w:r w:rsidR="009E0207">
              <w:rPr>
                <w:rFonts w:ascii="Times New Roman" w:eastAsia="Times New Roman" w:hAnsi="Times New Roman" w:cs="Times New Roman"/>
                <w:b/>
                <w:sz w:val="24"/>
                <w:szCs w:val="24"/>
                <w:lang w:eastAsia="lv-LV"/>
              </w:rPr>
              <w:t>.</w:t>
            </w:r>
          </w:p>
          <w:p w14:paraId="266FD692" w14:textId="14C7FCBD" w:rsidR="00D559F1" w:rsidRDefault="000740EE" w:rsidP="005D60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valsts iestādei piešķirtie valsts budžeta līdzekļi izlietojami paredzētajiem mērķiem, izslēdzot jebkāda veida izšķērdēšanu vai neatbilstošu izlietojumu, Aizsardzības ministrija veic visu iespējamo, lai nodrošinātu līdzekļu plūsmas maksimālu caur</w:t>
            </w:r>
            <w:r w:rsidR="009E0207">
              <w:rPr>
                <w:rFonts w:ascii="Times New Roman" w:eastAsia="Times New Roman" w:hAnsi="Times New Roman" w:cs="Times New Roman"/>
                <w:sz w:val="24"/>
                <w:szCs w:val="24"/>
                <w:lang w:eastAsia="lv-LV"/>
              </w:rPr>
              <w:t>redza</w:t>
            </w:r>
            <w:r>
              <w:rPr>
                <w:rFonts w:ascii="Times New Roman" w:eastAsia="Times New Roman" w:hAnsi="Times New Roman" w:cs="Times New Roman"/>
                <w:sz w:val="24"/>
                <w:szCs w:val="24"/>
                <w:lang w:eastAsia="lv-LV"/>
              </w:rPr>
              <w:t xml:space="preserve">mību, tai </w:t>
            </w:r>
            <w:r w:rsidR="00BC1169">
              <w:rPr>
                <w:rFonts w:ascii="Times New Roman" w:eastAsia="Times New Roman" w:hAnsi="Times New Roman" w:cs="Times New Roman"/>
                <w:sz w:val="24"/>
                <w:szCs w:val="24"/>
                <w:lang w:eastAsia="lv-LV"/>
              </w:rPr>
              <w:t>skai</w:t>
            </w:r>
            <w:r>
              <w:rPr>
                <w:rFonts w:ascii="Times New Roman" w:eastAsia="Times New Roman" w:hAnsi="Times New Roman" w:cs="Times New Roman"/>
                <w:sz w:val="24"/>
                <w:szCs w:val="24"/>
                <w:lang w:eastAsia="lv-LV"/>
              </w:rPr>
              <w:t xml:space="preserve">tā arī attiecībā uz </w:t>
            </w:r>
            <w:r w:rsidR="00D559F1">
              <w:rPr>
                <w:rFonts w:ascii="Times New Roman" w:eastAsia="Times New Roman" w:hAnsi="Times New Roman" w:cs="Times New Roman"/>
                <w:sz w:val="24"/>
                <w:szCs w:val="24"/>
                <w:lang w:eastAsia="lv-LV"/>
              </w:rPr>
              <w:t>starptautiskās operācijas rajonā reprez</w:t>
            </w:r>
            <w:r w:rsidR="005D6040">
              <w:rPr>
                <w:rFonts w:ascii="Times New Roman" w:eastAsia="Times New Roman" w:hAnsi="Times New Roman" w:cs="Times New Roman"/>
                <w:sz w:val="24"/>
                <w:szCs w:val="24"/>
                <w:lang w:eastAsia="lv-LV"/>
              </w:rPr>
              <w:t>entācijas pasākumu īstenošanai</w:t>
            </w:r>
            <w:r w:rsidR="00D559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piešķirtajiem </w:t>
            </w:r>
            <w:r w:rsidR="005D6040">
              <w:rPr>
                <w:rFonts w:ascii="Times New Roman" w:eastAsia="Times New Roman" w:hAnsi="Times New Roman" w:cs="Times New Roman"/>
                <w:sz w:val="24"/>
                <w:szCs w:val="24"/>
                <w:lang w:eastAsia="lv-LV"/>
              </w:rPr>
              <w:t>finanšu līdzekļ</w:t>
            </w:r>
            <w:r>
              <w:rPr>
                <w:rFonts w:ascii="Times New Roman" w:eastAsia="Times New Roman" w:hAnsi="Times New Roman" w:cs="Times New Roman"/>
                <w:sz w:val="24"/>
                <w:szCs w:val="24"/>
                <w:lang w:eastAsia="lv-LV"/>
              </w:rPr>
              <w:t>iem.</w:t>
            </w:r>
            <w:r w:rsidR="005D6040">
              <w:rPr>
                <w:rFonts w:ascii="Times New Roman" w:eastAsia="Times New Roman" w:hAnsi="Times New Roman" w:cs="Times New Roman"/>
                <w:sz w:val="24"/>
                <w:szCs w:val="24"/>
                <w:lang w:eastAsia="lv-LV"/>
              </w:rPr>
              <w:t xml:space="preserve"> </w:t>
            </w:r>
          </w:p>
          <w:p w14:paraId="2B875690" w14:textId="56E873B2" w:rsidR="004F7D8E" w:rsidRDefault="004F7D8E" w:rsidP="005D60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kancelejas Juridiskā departamenta</w:t>
            </w:r>
            <w:r w:rsidR="007C2B6E">
              <w:rPr>
                <w:rFonts w:ascii="Times New Roman" w:eastAsia="Times New Roman" w:hAnsi="Times New Roman" w:cs="Times New Roman"/>
                <w:sz w:val="24"/>
                <w:szCs w:val="24"/>
                <w:lang w:eastAsia="lv-LV"/>
              </w:rPr>
              <w:t xml:space="preserve"> 2013. gada 25. janvāra atzinumā</w:t>
            </w:r>
            <w:r>
              <w:rPr>
                <w:rFonts w:ascii="Times New Roman" w:eastAsia="Times New Roman" w:hAnsi="Times New Roman" w:cs="Times New Roman"/>
                <w:sz w:val="24"/>
                <w:szCs w:val="24"/>
                <w:lang w:eastAsia="lv-LV"/>
              </w:rPr>
              <w:t xml:space="preserve"> par </w:t>
            </w:r>
            <w:r w:rsidRPr="00F97863">
              <w:rPr>
                <w:rFonts w:ascii="Times New Roman" w:eastAsia="Times New Roman" w:hAnsi="Times New Roman" w:cs="Times New Roman"/>
                <w:sz w:val="24"/>
                <w:szCs w:val="24"/>
                <w:lang w:eastAsia="lv-LV"/>
              </w:rPr>
              <w:t xml:space="preserve">grozījumiem </w:t>
            </w:r>
            <w:r w:rsidRPr="00F97863">
              <w:rPr>
                <w:rFonts w:ascii="Times New Roman" w:hAnsi="Times New Roman" w:cs="Times New Roman"/>
                <w:sz w:val="24"/>
                <w:szCs w:val="24"/>
              </w:rPr>
              <w:t>Ministru kabineta 2</w:t>
            </w:r>
            <w:r w:rsidR="007C2B6E">
              <w:rPr>
                <w:rFonts w:ascii="Times New Roman" w:hAnsi="Times New Roman" w:cs="Times New Roman"/>
                <w:sz w:val="24"/>
                <w:szCs w:val="24"/>
              </w:rPr>
              <w:t>009. gada 17. februāra noteikumo</w:t>
            </w:r>
            <w:r w:rsidRPr="00F97863">
              <w:rPr>
                <w:rFonts w:ascii="Times New Roman" w:hAnsi="Times New Roman" w:cs="Times New Roman"/>
                <w:sz w:val="24"/>
                <w:szCs w:val="24"/>
              </w:rPr>
              <w:t xml:space="preserve">s Nr. 166 </w:t>
            </w:r>
            <w:r w:rsidR="009E0207">
              <w:rPr>
                <w:rFonts w:ascii="Times New Roman" w:hAnsi="Times New Roman" w:cs="Times New Roman"/>
                <w:sz w:val="24"/>
                <w:szCs w:val="24"/>
              </w:rPr>
              <w:t>“</w:t>
            </w:r>
            <w:r w:rsidRPr="00F97863">
              <w:rPr>
                <w:rFonts w:ascii="Times New Roman" w:hAnsi="Times New Roman" w:cs="Times New Roman"/>
                <w:sz w:val="24"/>
                <w:szCs w:val="24"/>
              </w:rPr>
              <w:t>Kārtība, kādā veidojamas, finansējamas un sagatavojamas Latvijas Nacionālo bruņoto spēku vienības, kas piedalās starptautiskajās operācijās un ātrās reaģēšanas spēkos</w:t>
            </w:r>
            <w:r w:rsidR="009E0207">
              <w:rPr>
                <w:rFonts w:ascii="Times New Roman" w:hAnsi="Times New Roman" w:cs="Times New Roman"/>
                <w:sz w:val="24"/>
                <w:szCs w:val="24"/>
              </w:rPr>
              <w:t>”</w:t>
            </w:r>
            <w:r w:rsidRPr="00F97863">
              <w:rPr>
                <w:rFonts w:ascii="Times New Roman" w:hAnsi="Times New Roman" w:cs="Times New Roman"/>
                <w:sz w:val="24"/>
                <w:szCs w:val="24"/>
              </w:rPr>
              <w:t xml:space="preserve">, kuri vēlāk tika </w:t>
            </w:r>
            <w:r w:rsidR="004D3719" w:rsidRPr="00F97863">
              <w:rPr>
                <w:rFonts w:ascii="Times New Roman" w:hAnsi="Times New Roman" w:cs="Times New Roman"/>
                <w:sz w:val="24"/>
                <w:szCs w:val="24"/>
              </w:rPr>
              <w:t xml:space="preserve">aizstāti ar MK noteikumiem </w:t>
            </w:r>
            <w:r w:rsidR="004D3719" w:rsidRPr="00F97863">
              <w:rPr>
                <w:rFonts w:ascii="Times New Roman" w:eastAsia="Times New Roman" w:hAnsi="Times New Roman" w:cs="Times New Roman"/>
                <w:sz w:val="24"/>
                <w:szCs w:val="24"/>
                <w:lang w:eastAsia="lv-LV"/>
              </w:rPr>
              <w:t xml:space="preserve">Nr. 508, tika īpaši pasvītrota nepieciešamība </w:t>
            </w:r>
            <w:r w:rsidR="009E0207">
              <w:rPr>
                <w:rFonts w:ascii="Times New Roman" w:eastAsia="Times New Roman" w:hAnsi="Times New Roman" w:cs="Times New Roman"/>
                <w:sz w:val="24"/>
                <w:szCs w:val="24"/>
                <w:lang w:eastAsia="lv-LV"/>
              </w:rPr>
              <w:t>noteikt</w:t>
            </w:r>
            <w:r w:rsidR="004D3719" w:rsidRPr="00F97863">
              <w:rPr>
                <w:rFonts w:ascii="Times New Roman" w:eastAsia="Times New Roman" w:hAnsi="Times New Roman" w:cs="Times New Roman"/>
                <w:sz w:val="24"/>
                <w:szCs w:val="24"/>
                <w:lang w:eastAsia="lv-LV"/>
              </w:rPr>
              <w:t xml:space="preserve"> MK noteikumos</w:t>
            </w:r>
            <w:r w:rsidR="004D3719">
              <w:rPr>
                <w:rFonts w:ascii="Times New Roman" w:eastAsia="Times New Roman" w:hAnsi="Times New Roman" w:cs="Times New Roman"/>
                <w:sz w:val="24"/>
                <w:szCs w:val="24"/>
                <w:lang w:eastAsia="lv-LV"/>
              </w:rPr>
              <w:t xml:space="preserve"> Nr. 166 finansēšanas </w:t>
            </w:r>
            <w:r w:rsidR="004D3719">
              <w:rPr>
                <w:rFonts w:ascii="Times New Roman" w:eastAsia="Times New Roman" w:hAnsi="Times New Roman" w:cs="Times New Roman"/>
                <w:sz w:val="24"/>
                <w:szCs w:val="24"/>
                <w:lang w:eastAsia="lv-LV"/>
              </w:rPr>
              <w:lastRenderedPageBreak/>
              <w:t>nianses</w:t>
            </w:r>
            <w:r w:rsidR="007C2B6E">
              <w:rPr>
                <w:rFonts w:ascii="Times New Roman" w:eastAsia="Times New Roman" w:hAnsi="Times New Roman" w:cs="Times New Roman"/>
                <w:sz w:val="24"/>
                <w:szCs w:val="24"/>
                <w:lang w:eastAsia="lv-LV"/>
              </w:rPr>
              <w:t xml:space="preserve"> (t.</w:t>
            </w:r>
            <w:r w:rsidR="009E0207">
              <w:rPr>
                <w:rFonts w:ascii="Times New Roman" w:eastAsia="Times New Roman" w:hAnsi="Times New Roman" w:cs="Times New Roman"/>
                <w:sz w:val="24"/>
                <w:szCs w:val="24"/>
                <w:lang w:eastAsia="lv-LV"/>
              </w:rPr>
              <w:t> </w:t>
            </w:r>
            <w:r w:rsidR="007C2B6E">
              <w:rPr>
                <w:rFonts w:ascii="Times New Roman" w:eastAsia="Times New Roman" w:hAnsi="Times New Roman" w:cs="Times New Roman"/>
                <w:sz w:val="24"/>
                <w:szCs w:val="24"/>
                <w:lang w:eastAsia="lv-LV"/>
              </w:rPr>
              <w:t>sk. arī nepieciešamo līdzekļu maksimālo apmēru)</w:t>
            </w:r>
            <w:r w:rsidR="004D3719">
              <w:rPr>
                <w:rFonts w:ascii="Times New Roman" w:eastAsia="Times New Roman" w:hAnsi="Times New Roman" w:cs="Times New Roman"/>
                <w:sz w:val="24"/>
                <w:szCs w:val="24"/>
                <w:lang w:eastAsia="lv-LV"/>
              </w:rPr>
              <w:t>, tādējādi nodrošinot skaidru un pārskatāmu finanšu līdzekļu plūsmas kontroli starptautisko operāciju nodrošināšanā.</w:t>
            </w:r>
          </w:p>
          <w:p w14:paraId="02109CA5" w14:textId="77777777" w:rsidR="006B26AF" w:rsidRDefault="006B26AF" w:rsidP="006B26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Arī šobrīd Aizsardzības ministrijas ieskatā ir  būtiski MK noteikumu līmenī noteikt maksimālo reprezentācijas pasākumiem paredzēto finansējuma ap</w:t>
            </w:r>
            <w:r w:rsidR="00BC1169">
              <w:rPr>
                <w:rFonts w:ascii="Times New Roman" w:eastAsia="Times New Roman" w:hAnsi="Times New Roman" w:cs="Times New Roman"/>
                <w:sz w:val="24"/>
                <w:szCs w:val="24"/>
                <w:lang w:eastAsia="lv-LV"/>
              </w:rPr>
              <w:t>mēru un detalizēti atrunāt amatpersonu kompetenci rīcībai ar tiem.</w:t>
            </w:r>
          </w:p>
          <w:p w14:paraId="5256209C" w14:textId="77777777" w:rsidR="00283764" w:rsidRDefault="008A6161" w:rsidP="00C5408B">
            <w:pPr>
              <w:spacing w:after="0" w:line="240" w:lineRule="auto"/>
              <w:jc w:val="both"/>
              <w:rPr>
                <w:rFonts w:ascii="Times New Roman" w:eastAsia="Times New Roman" w:hAnsi="Times New Roman" w:cs="Times New Roman"/>
                <w:sz w:val="24"/>
                <w:szCs w:val="24"/>
                <w:lang w:eastAsia="lv-LV"/>
              </w:rPr>
            </w:pPr>
            <w:r>
              <w:rPr>
                <w:rFonts w:ascii="Times New Roman" w:hAnsi="Times New Roman"/>
                <w:b/>
                <w:bCs/>
                <w:sz w:val="24"/>
                <w:szCs w:val="24"/>
                <w:lang w:eastAsia="lv-LV"/>
              </w:rPr>
              <w:t>Anotācija ir papildināta un precizēta</w:t>
            </w:r>
            <w:r w:rsidR="00DC7558">
              <w:rPr>
                <w:rFonts w:ascii="Times New Roman" w:eastAsia="Times New Roman" w:hAnsi="Times New Roman" w:cs="Times New Roman"/>
                <w:sz w:val="24"/>
                <w:szCs w:val="24"/>
                <w:lang w:eastAsia="lv-LV"/>
              </w:rPr>
              <w:t>.</w:t>
            </w:r>
          </w:p>
          <w:p w14:paraId="4D2DE321" w14:textId="77777777" w:rsidR="00283764" w:rsidRPr="004D337E" w:rsidRDefault="00283764" w:rsidP="007C2B6E">
            <w:pPr>
              <w:spacing w:after="0" w:line="240" w:lineRule="auto"/>
              <w:jc w:val="both"/>
              <w:rPr>
                <w:rFonts w:ascii="Times New Roman" w:eastAsia="Times New Roman" w:hAnsi="Times New Roman" w:cs="Times New Roman"/>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hideMark/>
          </w:tcPr>
          <w:p w14:paraId="746F4D64" w14:textId="77777777" w:rsidR="00D45F60" w:rsidRDefault="00D45F60" w:rsidP="00475FAA">
            <w:pPr>
              <w:spacing w:line="276" w:lineRule="auto"/>
              <w:jc w:val="both"/>
              <w:rPr>
                <w:rFonts w:ascii="Times New Roman" w:eastAsia="Times New Roman" w:hAnsi="Times New Roman" w:cs="Times New Roman"/>
                <w:b/>
                <w:sz w:val="24"/>
                <w:szCs w:val="24"/>
                <w:lang w:eastAsia="lv-LV"/>
              </w:rPr>
            </w:pPr>
            <w:r w:rsidRPr="00D45F60">
              <w:rPr>
                <w:rFonts w:ascii="Times New Roman" w:eastAsia="Times New Roman" w:hAnsi="Times New Roman" w:cs="Times New Roman"/>
                <w:b/>
                <w:sz w:val="24"/>
                <w:szCs w:val="24"/>
                <w:lang w:eastAsia="lv-LV"/>
              </w:rPr>
              <w:lastRenderedPageBreak/>
              <w:t>1. Aizstāt 8.</w:t>
            </w:r>
            <w:r w:rsidR="009E0207">
              <w:rPr>
                <w:rFonts w:ascii="Times New Roman" w:eastAsia="Times New Roman" w:hAnsi="Times New Roman" w:cs="Times New Roman"/>
                <w:b/>
                <w:sz w:val="24"/>
                <w:szCs w:val="24"/>
                <w:lang w:eastAsia="lv-LV"/>
              </w:rPr>
              <w:t> </w:t>
            </w:r>
            <w:r w:rsidRPr="00D45F60">
              <w:rPr>
                <w:rFonts w:ascii="Times New Roman" w:eastAsia="Times New Roman" w:hAnsi="Times New Roman" w:cs="Times New Roman"/>
                <w:b/>
                <w:sz w:val="24"/>
                <w:szCs w:val="24"/>
                <w:lang w:eastAsia="lv-LV"/>
              </w:rPr>
              <w:t>punktā vārdu un skaitli "ir 143" ar vārdu un skaitli "nepārsniedz 800".</w:t>
            </w:r>
          </w:p>
          <w:p w14:paraId="6CF8DE73" w14:textId="40184482" w:rsidR="00DC7558" w:rsidRPr="00DC7558" w:rsidRDefault="00DC7558" w:rsidP="00475FAA">
            <w:pPr>
              <w:spacing w:line="276" w:lineRule="auto"/>
              <w:jc w:val="both"/>
              <w:rPr>
                <w:rFonts w:ascii="Times New Roman" w:eastAsia="Times New Roman" w:hAnsi="Times New Roman" w:cs="Times New Roman"/>
                <w:b/>
                <w:sz w:val="24"/>
                <w:szCs w:val="24"/>
                <w:lang w:eastAsia="lv-LV"/>
              </w:rPr>
            </w:pPr>
            <w:r w:rsidRPr="00DC7558">
              <w:rPr>
                <w:rFonts w:ascii="Times New Roman" w:eastAsia="Times New Roman" w:hAnsi="Times New Roman" w:cs="Times New Roman"/>
                <w:b/>
                <w:sz w:val="24"/>
                <w:szCs w:val="24"/>
                <w:lang w:eastAsia="lv-LV"/>
              </w:rPr>
              <w:t>Anotācijas I</w:t>
            </w:r>
            <w:r w:rsidR="009E0207">
              <w:rPr>
                <w:rFonts w:ascii="Times New Roman" w:eastAsia="Times New Roman" w:hAnsi="Times New Roman" w:cs="Times New Roman"/>
                <w:b/>
                <w:sz w:val="24"/>
                <w:szCs w:val="24"/>
                <w:lang w:eastAsia="lv-LV"/>
              </w:rPr>
              <w:t> </w:t>
            </w:r>
            <w:r w:rsidRPr="00DC7558">
              <w:rPr>
                <w:rFonts w:ascii="Times New Roman" w:eastAsia="Times New Roman" w:hAnsi="Times New Roman" w:cs="Times New Roman"/>
                <w:b/>
                <w:sz w:val="24"/>
                <w:szCs w:val="24"/>
                <w:lang w:eastAsia="lv-LV"/>
              </w:rPr>
              <w:t xml:space="preserve">sadaļas </w:t>
            </w:r>
            <w:r>
              <w:rPr>
                <w:rFonts w:ascii="Times New Roman" w:eastAsia="Times New Roman" w:hAnsi="Times New Roman" w:cs="Times New Roman"/>
                <w:b/>
                <w:sz w:val="24"/>
                <w:szCs w:val="24"/>
                <w:lang w:eastAsia="lv-LV"/>
              </w:rPr>
              <w:t>otrais</w:t>
            </w:r>
            <w:r w:rsidRPr="00DC7558">
              <w:rPr>
                <w:rFonts w:ascii="Times New Roman" w:eastAsia="Times New Roman" w:hAnsi="Times New Roman" w:cs="Times New Roman"/>
                <w:b/>
                <w:sz w:val="24"/>
                <w:szCs w:val="24"/>
                <w:lang w:eastAsia="lv-LV"/>
              </w:rPr>
              <w:t xml:space="preserve"> punkts papildināts ar šādiem vārdiem: </w:t>
            </w:r>
          </w:p>
          <w:p w14:paraId="227ADBFD" w14:textId="59AF4376" w:rsidR="00DC7558" w:rsidRPr="00DC7558" w:rsidRDefault="00DC7558" w:rsidP="00475FAA">
            <w:pPr>
              <w:spacing w:after="0" w:line="240" w:lineRule="auto"/>
              <w:ind w:firstLine="516"/>
              <w:jc w:val="both"/>
              <w:rPr>
                <w:rFonts w:ascii="Times New Roman" w:eastAsia="Times New Roman" w:hAnsi="Times New Roman" w:cs="Times New Roman"/>
                <w:b/>
                <w:sz w:val="24"/>
                <w:szCs w:val="24"/>
                <w:lang w:eastAsia="lv-LV"/>
              </w:rPr>
            </w:pPr>
            <w:r w:rsidRPr="00DC7558">
              <w:rPr>
                <w:rFonts w:ascii="Times New Roman" w:eastAsia="Times New Roman" w:hAnsi="Times New Roman" w:cs="Times New Roman"/>
                <w:b/>
                <w:sz w:val="24"/>
                <w:szCs w:val="24"/>
                <w:lang w:eastAsia="lv-LV"/>
              </w:rPr>
              <w:t xml:space="preserve">“Ievērojot, ka valsts iestādei piešķirtie valsts budžeta līdzekļi </w:t>
            </w:r>
            <w:r w:rsidRPr="00DC7558">
              <w:rPr>
                <w:rFonts w:ascii="Times New Roman" w:eastAsia="Times New Roman" w:hAnsi="Times New Roman" w:cs="Times New Roman"/>
                <w:b/>
                <w:sz w:val="24"/>
                <w:szCs w:val="24"/>
                <w:lang w:eastAsia="lv-LV"/>
              </w:rPr>
              <w:lastRenderedPageBreak/>
              <w:t>izlietojami paredzētajiem mērķiem, izslēdzot jebkāda veida izšķērdēšanu vai neatbilstošu izlietojumu, svarīgi ir nodrošināt līdzekļu plūsmas maksimālu caur</w:t>
            </w:r>
            <w:r w:rsidR="009E0207">
              <w:rPr>
                <w:rFonts w:ascii="Times New Roman" w:eastAsia="Times New Roman" w:hAnsi="Times New Roman" w:cs="Times New Roman"/>
                <w:b/>
                <w:sz w:val="24"/>
                <w:szCs w:val="24"/>
                <w:lang w:eastAsia="lv-LV"/>
              </w:rPr>
              <w:t>redza</w:t>
            </w:r>
            <w:r w:rsidRPr="00DC7558">
              <w:rPr>
                <w:rFonts w:ascii="Times New Roman" w:eastAsia="Times New Roman" w:hAnsi="Times New Roman" w:cs="Times New Roman"/>
                <w:b/>
                <w:sz w:val="24"/>
                <w:szCs w:val="24"/>
                <w:lang w:eastAsia="lv-LV"/>
              </w:rPr>
              <w:t xml:space="preserve">mību, tai skaitā arī attiecībā uz starptautiskās operācijas rajonā reprezentācijas pasākumu īstenošanai piešķirtajiem finanšu līdzekļiem. Tādējādi ir nepieciešams Ministru kabineta </w:t>
            </w:r>
            <w:r w:rsidRPr="00DC7558">
              <w:rPr>
                <w:rFonts w:ascii="Times New Roman" w:eastAsia="Times New Roman" w:hAnsi="Times New Roman" w:cs="Times New Roman"/>
                <w:b/>
                <w:sz w:val="24"/>
                <w:szCs w:val="24"/>
                <w:lang w:eastAsia="lv-LV"/>
              </w:rPr>
              <w:lastRenderedPageBreak/>
              <w:t>noteikumu līmenī noteikt maksimālo reprezentācijas pasākumiem paredzēto finansējuma apmēru.”</w:t>
            </w:r>
          </w:p>
          <w:p w14:paraId="5E563646" w14:textId="77777777" w:rsidR="00D559F1" w:rsidRPr="00DC7558" w:rsidRDefault="00D559F1" w:rsidP="00475FAA">
            <w:pPr>
              <w:pStyle w:val="NormalWeb"/>
              <w:spacing w:before="0" w:after="0"/>
              <w:ind w:right="11"/>
              <w:jc w:val="both"/>
              <w:rPr>
                <w:b/>
                <w:lang w:val="lv-LV"/>
              </w:rPr>
            </w:pPr>
          </w:p>
        </w:tc>
      </w:tr>
      <w:tr w:rsidR="007E69C9" w:rsidRPr="004D337E" w14:paraId="00B6993E" w14:textId="77777777" w:rsidTr="007E69C9">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6F6E172B" w14:textId="77777777" w:rsidR="007E69C9" w:rsidRPr="004D337E" w:rsidRDefault="007E69C9" w:rsidP="00D55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876" w:type="pct"/>
            <w:vMerge w:val="restart"/>
            <w:tcBorders>
              <w:top w:val="outset" w:sz="6" w:space="0" w:color="auto"/>
              <w:left w:val="outset" w:sz="6" w:space="0" w:color="auto"/>
              <w:right w:val="outset" w:sz="6" w:space="0" w:color="auto"/>
            </w:tcBorders>
          </w:tcPr>
          <w:p w14:paraId="6D7BCC4C" w14:textId="77777777" w:rsidR="007E69C9" w:rsidRDefault="007074DC" w:rsidP="00D559F1">
            <w:pPr>
              <w:widowControl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Papildināt 10. punktu</w:t>
            </w:r>
            <w:r w:rsidR="007E69C9" w:rsidRPr="004D337E">
              <w:rPr>
                <w:rFonts w:ascii="Times New Roman" w:eastAsia="Calibri" w:hAnsi="Times New Roman" w:cs="Times New Roman"/>
                <w:sz w:val="24"/>
                <w:szCs w:val="24"/>
              </w:rPr>
              <w:t xml:space="preserve"> aiz vārda </w:t>
            </w:r>
            <w:r w:rsidR="007E69C9" w:rsidRPr="004D337E">
              <w:rPr>
                <w:rFonts w:ascii="Times New Roman" w:hAnsi="Times New Roman" w:cs="Times New Roman"/>
                <w:sz w:val="24"/>
                <w:szCs w:val="24"/>
              </w:rPr>
              <w:t xml:space="preserve">„komandieris” </w:t>
            </w:r>
            <w:r w:rsidR="007E69C9" w:rsidRPr="004D337E">
              <w:rPr>
                <w:rFonts w:ascii="Times New Roman" w:eastAsia="Calibri" w:hAnsi="Times New Roman" w:cs="Times New Roman"/>
                <w:sz w:val="24"/>
                <w:szCs w:val="24"/>
              </w:rPr>
              <w:t xml:space="preserve">ar vārdu </w:t>
            </w:r>
            <w:r w:rsidR="007E69C9">
              <w:rPr>
                <w:rFonts w:ascii="Times New Roman" w:hAnsi="Times New Roman" w:cs="Times New Roman"/>
                <w:sz w:val="24"/>
                <w:szCs w:val="24"/>
              </w:rPr>
              <w:t>„vai viņa pilnvarota persona”;</w:t>
            </w:r>
            <w:r w:rsidR="007E69C9" w:rsidRPr="004D337E">
              <w:rPr>
                <w:rFonts w:ascii="Times New Roman" w:eastAsia="Calibri" w:hAnsi="Times New Roman" w:cs="Times New Roman"/>
                <w:sz w:val="24"/>
                <w:szCs w:val="24"/>
              </w:rPr>
              <w:t xml:space="preserve"> </w:t>
            </w:r>
          </w:p>
          <w:p w14:paraId="41596D3B" w14:textId="77777777" w:rsidR="007E69C9" w:rsidRPr="004D337E" w:rsidRDefault="007E69C9" w:rsidP="00D559F1">
            <w:pPr>
              <w:widowControl w:val="0"/>
              <w:spacing w:line="276" w:lineRule="auto"/>
              <w:jc w:val="both"/>
              <w:rPr>
                <w:rFonts w:ascii="Times New Roman" w:eastAsia="Calibri" w:hAnsi="Times New Roman" w:cs="Times New Roman"/>
                <w:sz w:val="24"/>
                <w:szCs w:val="24"/>
              </w:rPr>
            </w:pPr>
            <w:r w:rsidRPr="004D337E">
              <w:rPr>
                <w:rFonts w:ascii="Times New Roman" w:eastAsia="Calibri" w:hAnsi="Times New Roman" w:cs="Times New Roman"/>
                <w:sz w:val="24"/>
                <w:szCs w:val="24"/>
              </w:rPr>
              <w:t>3. Izteikt 11. punktu šādā redakcijā:</w:t>
            </w:r>
          </w:p>
          <w:p w14:paraId="1EC04062" w14:textId="77777777" w:rsidR="007E69C9" w:rsidRPr="004D337E" w:rsidRDefault="007E69C9" w:rsidP="00D559F1">
            <w:pPr>
              <w:jc w:val="both"/>
              <w:rPr>
                <w:rFonts w:ascii="Times New Roman" w:eastAsia="Times New Roman" w:hAnsi="Times New Roman" w:cs="Times New Roman"/>
                <w:sz w:val="24"/>
                <w:szCs w:val="24"/>
                <w:lang w:eastAsia="lv-LV"/>
              </w:rPr>
            </w:pPr>
            <w:r w:rsidRPr="004D337E">
              <w:rPr>
                <w:rFonts w:ascii="Times New Roman" w:eastAsia="Calibri" w:hAnsi="Times New Roman" w:cs="Times New Roman"/>
                <w:sz w:val="24"/>
                <w:szCs w:val="24"/>
              </w:rPr>
              <w:t xml:space="preserve">,,11. Starptautiskās operācijas rajonā reprezentācijas pasākumiem un speciālo, drošības un kaujas atbalsta uzdevumu veikšanai paredzētos līdzekļus </w:t>
            </w:r>
            <w:r w:rsidRPr="004D337E">
              <w:rPr>
                <w:rFonts w:ascii="Times New Roman" w:eastAsia="Calibri" w:hAnsi="Times New Roman" w:cs="Times New Roman"/>
                <w:sz w:val="24"/>
                <w:szCs w:val="24"/>
              </w:rPr>
              <w:lastRenderedPageBreak/>
              <w:t>izsniedz kontingenta komandierim vai Nacionālo bruņoto spēku komandiera vai viņa pilnvarotas persona</w:t>
            </w:r>
            <w:r>
              <w:rPr>
                <w:rFonts w:ascii="Times New Roman" w:eastAsia="Calibri" w:hAnsi="Times New Roman" w:cs="Times New Roman"/>
                <w:sz w:val="24"/>
                <w:szCs w:val="24"/>
              </w:rPr>
              <w:t>s apstiprinātai amatpersonai.”.</w:t>
            </w:r>
          </w:p>
        </w:tc>
        <w:tc>
          <w:tcPr>
            <w:tcW w:w="1571" w:type="pct"/>
            <w:tcBorders>
              <w:top w:val="outset" w:sz="6" w:space="0" w:color="auto"/>
              <w:left w:val="outset" w:sz="6" w:space="0" w:color="auto"/>
              <w:bottom w:val="outset" w:sz="6" w:space="0" w:color="auto"/>
              <w:right w:val="outset" w:sz="6" w:space="0" w:color="auto"/>
            </w:tcBorders>
          </w:tcPr>
          <w:p w14:paraId="5072C22C" w14:textId="77777777" w:rsidR="007E69C9" w:rsidRPr="00D559F1" w:rsidRDefault="007E69C9" w:rsidP="00D559F1">
            <w:pPr>
              <w:pStyle w:val="NormalWeb"/>
              <w:spacing w:before="0" w:after="0"/>
              <w:ind w:right="11"/>
              <w:jc w:val="both"/>
              <w:rPr>
                <w:b/>
                <w:lang w:val="lv-LV"/>
              </w:rPr>
            </w:pPr>
            <w:r w:rsidRPr="00D559F1">
              <w:rPr>
                <w:b/>
                <w:lang w:val="lv-LV"/>
              </w:rPr>
              <w:lastRenderedPageBreak/>
              <w:t>Tieslietu ministrija</w:t>
            </w:r>
          </w:p>
          <w:p w14:paraId="5D8FF244" w14:textId="77777777" w:rsidR="007E69C9" w:rsidRDefault="007E69C9" w:rsidP="00D559F1">
            <w:pPr>
              <w:pStyle w:val="NormalWeb"/>
              <w:spacing w:before="0" w:after="0"/>
              <w:ind w:right="11"/>
              <w:jc w:val="both"/>
              <w:rPr>
                <w:lang w:val="lv-LV"/>
              </w:rPr>
            </w:pPr>
            <w:r w:rsidRPr="00F8523B">
              <w:rPr>
                <w:lang w:val="lv-LV"/>
              </w:rPr>
              <w:t xml:space="preserve">Projekta 2. un 3. punkts paredz attiecīgo personu kompetences detalizētu regulējumu. Ārējos normatīvajos aktos sastopamas dažādas pieejas, kā tiek noteikts institūcijas vai amatpersonas kompetences apjoms (piemēram, norāda tikai institūciju, norāda institūcijas vadītāju, retāk regulē </w:t>
            </w:r>
            <w:r>
              <w:rPr>
                <w:lang w:val="lv-LV"/>
              </w:rPr>
              <w:t xml:space="preserve">arī </w:t>
            </w:r>
            <w:r w:rsidRPr="00F8523B">
              <w:rPr>
                <w:lang w:val="lv-LV"/>
              </w:rPr>
              <w:t xml:space="preserve">institūcijas vadītāja norīkotu ("pilnvarotu") personu kompetenci). Jebkurā gadījumā, ja ārējā normatīvajā aktā tiek </w:t>
            </w:r>
            <w:r>
              <w:rPr>
                <w:lang w:val="lv-LV"/>
              </w:rPr>
              <w:t xml:space="preserve">paredzēta </w:t>
            </w:r>
            <w:r w:rsidRPr="00F8523B">
              <w:rPr>
                <w:lang w:val="lv-LV"/>
              </w:rPr>
              <w:t>konkrētu amatpersonu vai darbinieku kompetence, ta</w:t>
            </w:r>
            <w:r>
              <w:rPr>
                <w:lang w:val="lv-LV"/>
              </w:rPr>
              <w:t>m nepieciešams īpašs pamatojums.</w:t>
            </w:r>
          </w:p>
          <w:p w14:paraId="764E0433" w14:textId="77777777" w:rsidR="007E69C9" w:rsidRPr="004D337E" w:rsidRDefault="007E69C9" w:rsidP="001A6FB5">
            <w:pPr>
              <w:pStyle w:val="NormalWeb"/>
              <w:spacing w:before="0" w:after="0"/>
              <w:ind w:right="11" w:firstLine="720"/>
              <w:jc w:val="both"/>
              <w:rPr>
                <w:lang w:val="lv-LV"/>
              </w:rPr>
            </w:pPr>
            <w:r>
              <w:rPr>
                <w:lang w:val="lv-LV"/>
              </w:rPr>
              <w:t xml:space="preserve">Pirmkārt, </w:t>
            </w:r>
            <w:r w:rsidRPr="00385846">
              <w:rPr>
                <w:lang w:val="lv-LV"/>
              </w:rPr>
              <w:t xml:space="preserve">tendence veidot </w:t>
            </w:r>
            <w:r w:rsidRPr="001A6FB5">
              <w:rPr>
                <w:u w:val="single"/>
                <w:lang w:val="lv-LV"/>
              </w:rPr>
              <w:t xml:space="preserve">ļoti detalizētu regulējumu </w:t>
            </w:r>
            <w:r>
              <w:rPr>
                <w:lang w:val="lv-LV"/>
              </w:rPr>
              <w:t xml:space="preserve">nav atbalstāma, jo tā </w:t>
            </w:r>
            <w:r w:rsidRPr="00385846">
              <w:rPr>
                <w:lang w:val="lv-LV"/>
              </w:rPr>
              <w:t>piemērošanā neizbēgami atklājas neapzināti robi.</w:t>
            </w:r>
            <w:r>
              <w:rPr>
                <w:lang w:val="lv-LV"/>
              </w:rPr>
              <w:t xml:space="preserve"> Normatīvajam aktam jābūt iespējami </w:t>
            </w:r>
            <w:r>
              <w:rPr>
                <w:lang w:val="lv-LV"/>
              </w:rPr>
              <w:lastRenderedPageBreak/>
              <w:t>vispārīgam. Otrkārt, ārējos normatīvos aktus neizstrādā, ja attiecīgo jautājumu iespējams atrisināt ar iekšējo normatīvo aktu, rīkojumu vai citu individuālu tiesību aktu (</w:t>
            </w:r>
            <w:r w:rsidRPr="000525EB">
              <w:rPr>
                <w:i/>
                <w:lang w:val="lv-LV"/>
              </w:rPr>
              <w:t>Informatīvais ziņojums "Faktiskā situācija un risinājumi normatīvo aktu skaita samazināšanai",</w:t>
            </w:r>
            <w:r>
              <w:rPr>
                <w:i/>
                <w:lang w:val="lv-LV"/>
              </w:rPr>
              <w:t xml:space="preserve"> 2018., 6.–7. lpp.</w:t>
            </w:r>
            <w:r>
              <w:rPr>
                <w:lang w:val="lv-LV"/>
              </w:rPr>
              <w:t xml:space="preserve"> ). Līdz ar to lūdzam projekta anotācijā norādīt pamatojumu, kāpēc projekta 2. un 3. punktā paredzēto regulējumu ir nepieciešams noteikt tieši ārējā normatīvajā aktā.</w:t>
            </w:r>
          </w:p>
        </w:tc>
        <w:tc>
          <w:tcPr>
            <w:tcW w:w="1644" w:type="pct"/>
            <w:tcBorders>
              <w:top w:val="outset" w:sz="6" w:space="0" w:color="auto"/>
              <w:left w:val="outset" w:sz="6" w:space="0" w:color="auto"/>
              <w:bottom w:val="outset" w:sz="6" w:space="0" w:color="auto"/>
              <w:right w:val="outset" w:sz="6" w:space="0" w:color="auto"/>
            </w:tcBorders>
          </w:tcPr>
          <w:p w14:paraId="2A040F24" w14:textId="77777777" w:rsidR="007E69C9" w:rsidRDefault="007E69C9" w:rsidP="00D559F1">
            <w:pPr>
              <w:spacing w:after="0" w:line="240" w:lineRule="auto"/>
              <w:rPr>
                <w:rFonts w:ascii="Times New Roman" w:eastAsia="Times New Roman" w:hAnsi="Times New Roman" w:cs="Times New Roman"/>
                <w:b/>
                <w:sz w:val="24"/>
                <w:szCs w:val="24"/>
                <w:lang w:eastAsia="lv-LV"/>
              </w:rPr>
            </w:pPr>
            <w:r w:rsidRPr="001A6FB5">
              <w:rPr>
                <w:rFonts w:ascii="Times New Roman" w:eastAsia="Times New Roman" w:hAnsi="Times New Roman" w:cs="Times New Roman"/>
                <w:b/>
                <w:sz w:val="24"/>
                <w:szCs w:val="24"/>
                <w:lang w:eastAsia="lv-LV"/>
              </w:rPr>
              <w:lastRenderedPageBreak/>
              <w:t>Daļēji ņemts vērā</w:t>
            </w:r>
            <w:r w:rsidR="009E0207">
              <w:rPr>
                <w:rFonts w:ascii="Times New Roman" w:eastAsia="Times New Roman" w:hAnsi="Times New Roman" w:cs="Times New Roman"/>
                <w:b/>
                <w:sz w:val="24"/>
                <w:szCs w:val="24"/>
                <w:lang w:eastAsia="lv-LV"/>
              </w:rPr>
              <w:t>.</w:t>
            </w:r>
          </w:p>
          <w:p w14:paraId="78C5A03B" w14:textId="77A37C21" w:rsidR="007E69C9" w:rsidRDefault="007E69C9" w:rsidP="0070277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Ar grozījumiem</w:t>
            </w:r>
            <w:r w:rsidRPr="00585FDC">
              <w:rPr>
                <w:rFonts w:ascii="Times New Roman" w:hAnsi="Times New Roman" w:cs="Times New Roman"/>
                <w:sz w:val="24"/>
                <w:szCs w:val="24"/>
              </w:rPr>
              <w:t xml:space="preserve"> tiek </w:t>
            </w:r>
            <w:r w:rsidRPr="00585FDC">
              <w:rPr>
                <w:rFonts w:ascii="Times New Roman" w:hAnsi="Times New Roman" w:cs="Times New Roman"/>
                <w:sz w:val="24"/>
                <w:szCs w:val="24"/>
                <w:lang w:eastAsia="lv-LV"/>
              </w:rPr>
              <w:t>paplašināts to personu loks, kas apstiprina izdevumu mērķus un tāmi, jo šobrīd šādu tāmi un mērķus ir tiesīgs apstiprināt tikai un vienīgi NBS komandieris</w:t>
            </w:r>
            <w:r>
              <w:rPr>
                <w:rFonts w:ascii="Times New Roman" w:hAnsi="Times New Roman" w:cs="Times New Roman"/>
                <w:sz w:val="24"/>
                <w:szCs w:val="24"/>
                <w:lang w:eastAsia="lv-LV"/>
              </w:rPr>
              <w:t xml:space="preserve">, proti </w:t>
            </w:r>
            <w:r w:rsidR="009E020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ārējais normatīvais akts skaidri nosaka ierobežojumu attiecībā uz tāmes un mērķu apstiprināšanas amatpersonu. </w:t>
            </w:r>
            <w:r w:rsidRPr="00585FDC">
              <w:rPr>
                <w:rFonts w:ascii="Times New Roman" w:hAnsi="Times New Roman" w:cs="Times New Roman"/>
                <w:sz w:val="24"/>
                <w:szCs w:val="24"/>
                <w:lang w:eastAsia="lv-LV"/>
              </w:rPr>
              <w:t>Saskaņā ar Nacionālo bruņoto spēku 13.</w:t>
            </w:r>
            <w:r>
              <w:rPr>
                <w:rFonts w:ascii="Times New Roman" w:hAnsi="Times New Roman" w:cs="Times New Roman"/>
                <w:sz w:val="24"/>
                <w:szCs w:val="24"/>
                <w:lang w:eastAsia="lv-LV"/>
              </w:rPr>
              <w:t xml:space="preserve"> </w:t>
            </w:r>
            <w:r w:rsidRPr="00585FDC">
              <w:rPr>
                <w:rFonts w:ascii="Times New Roman" w:hAnsi="Times New Roman" w:cs="Times New Roman"/>
                <w:sz w:val="24"/>
                <w:szCs w:val="24"/>
                <w:lang w:eastAsia="lv-LV"/>
              </w:rPr>
              <w:t xml:space="preserve">panta pirmo daļu </w:t>
            </w:r>
            <w:r w:rsidRPr="00585FDC">
              <w:rPr>
                <w:rFonts w:ascii="Times New Roman" w:hAnsi="Times New Roman" w:cs="Times New Roman"/>
                <w:sz w:val="24"/>
                <w:szCs w:val="24"/>
              </w:rPr>
              <w:t>Nacionālo bruņoto spēku komandieris</w:t>
            </w:r>
            <w:r w:rsidRPr="00585FDC">
              <w:rPr>
                <w:rFonts w:ascii="Times New Roman" w:hAnsi="Times New Roman" w:cs="Times New Roman"/>
                <w:sz w:val="24"/>
                <w:szCs w:val="24"/>
                <w:u w:val="single"/>
              </w:rPr>
              <w:t xml:space="preserve"> ir valsts augstākā militārā amatpersona.</w:t>
            </w:r>
            <w:r>
              <w:rPr>
                <w:rFonts w:ascii="Times New Roman" w:hAnsi="Times New Roman" w:cs="Times New Roman"/>
                <w:sz w:val="24"/>
                <w:szCs w:val="24"/>
                <w:u w:val="single"/>
              </w:rPr>
              <w:t xml:space="preserve"> </w:t>
            </w:r>
            <w:r w:rsidRPr="00585FDC">
              <w:rPr>
                <w:rFonts w:ascii="Times New Roman" w:hAnsi="Times New Roman" w:cs="Times New Roman"/>
                <w:sz w:val="24"/>
                <w:szCs w:val="24"/>
              </w:rPr>
              <w:t xml:space="preserve">Grozījumi ir nepieciešami, </w:t>
            </w:r>
            <w:r w:rsidR="00A86ECA">
              <w:rPr>
                <w:rFonts w:ascii="Times New Roman" w:hAnsi="Times New Roman" w:cs="Times New Roman"/>
                <w:sz w:val="24"/>
                <w:szCs w:val="24"/>
              </w:rPr>
              <w:t>lai atvieglotu</w:t>
            </w:r>
            <w:r w:rsidRPr="00EE3D9C">
              <w:rPr>
                <w:rFonts w:ascii="Times New Roman" w:hAnsi="Times New Roman" w:cs="Times New Roman"/>
                <w:sz w:val="24"/>
                <w:szCs w:val="24"/>
              </w:rPr>
              <w:t xml:space="preserve"> valsts augstākās militārās amatpersonas slodzi</w:t>
            </w:r>
            <w:r>
              <w:rPr>
                <w:rFonts w:ascii="Times New Roman" w:hAnsi="Times New Roman" w:cs="Times New Roman"/>
                <w:sz w:val="24"/>
                <w:szCs w:val="24"/>
              </w:rPr>
              <w:t>, jo ir acīmredzams, ka, piemēram, reprezentācijas tāmes apstiprināšana nav prioritārs NBS komandiera pienākums vai uzdevums.</w:t>
            </w:r>
          </w:p>
          <w:p w14:paraId="50A0F490" w14:textId="1D493F52" w:rsidR="007E69C9" w:rsidRPr="00BC1169" w:rsidRDefault="007E69C9" w:rsidP="006B26AF">
            <w:pPr>
              <w:spacing w:after="0" w:line="240" w:lineRule="auto"/>
              <w:jc w:val="both"/>
              <w:rPr>
                <w:rFonts w:ascii="Times New Roman" w:eastAsia="Times New Roman" w:hAnsi="Times New Roman" w:cs="Times New Roman"/>
                <w:sz w:val="24"/>
                <w:szCs w:val="24"/>
                <w:lang w:eastAsia="lv-LV"/>
              </w:rPr>
            </w:pPr>
            <w:r w:rsidRPr="00BC1169">
              <w:rPr>
                <w:rFonts w:ascii="Times New Roman" w:eastAsia="Times New Roman" w:hAnsi="Times New Roman" w:cs="Times New Roman"/>
                <w:sz w:val="24"/>
                <w:szCs w:val="24"/>
                <w:lang w:eastAsia="lv-LV"/>
              </w:rPr>
              <w:t xml:space="preserve">Starptautiskās operācijas rajonā, ņemot vērā veicamo pienākumu dinamiku un karavīru </w:t>
            </w:r>
            <w:r w:rsidRPr="00BC1169">
              <w:rPr>
                <w:rFonts w:ascii="Times New Roman" w:eastAsia="Times New Roman" w:hAnsi="Times New Roman" w:cs="Times New Roman"/>
                <w:sz w:val="24"/>
                <w:szCs w:val="24"/>
                <w:lang w:eastAsia="lv-LV"/>
              </w:rPr>
              <w:lastRenderedPageBreak/>
              <w:t xml:space="preserve">(konkrēti, </w:t>
            </w:r>
            <w:r>
              <w:rPr>
                <w:rFonts w:ascii="Times New Roman" w:eastAsia="Times New Roman" w:hAnsi="Times New Roman" w:cs="Times New Roman"/>
                <w:sz w:val="24"/>
                <w:szCs w:val="24"/>
                <w:lang w:eastAsia="lv-LV"/>
              </w:rPr>
              <w:t xml:space="preserve">kontingenta komandiera kā </w:t>
            </w:r>
            <w:r w:rsidRPr="00BC1169">
              <w:rPr>
                <w:rFonts w:ascii="Times New Roman" w:eastAsia="Times New Roman" w:hAnsi="Times New Roman" w:cs="Times New Roman"/>
                <w:sz w:val="24"/>
                <w:szCs w:val="24"/>
                <w:lang w:eastAsia="lv-LV"/>
              </w:rPr>
              <w:t>līdzekļu saņēmēja) faktiskās uzturēšanās vietas nepastāvību, praksē pierādījies, ka līdzekļu atbilstošas</w:t>
            </w:r>
            <w:r>
              <w:rPr>
                <w:rFonts w:ascii="Times New Roman" w:eastAsia="Times New Roman" w:hAnsi="Times New Roman" w:cs="Times New Roman"/>
                <w:sz w:val="24"/>
                <w:szCs w:val="24"/>
                <w:lang w:eastAsia="lv-LV"/>
              </w:rPr>
              <w:t xml:space="preserve"> un savlaicīgas saņemšanas un</w:t>
            </w:r>
            <w:r w:rsidRPr="00BC1169">
              <w:rPr>
                <w:rFonts w:ascii="Times New Roman" w:eastAsia="Times New Roman" w:hAnsi="Times New Roman" w:cs="Times New Roman"/>
                <w:sz w:val="24"/>
                <w:szCs w:val="24"/>
                <w:lang w:eastAsia="lv-LV"/>
              </w:rPr>
              <w:t xml:space="preserve"> izlietošanas uzraudzībai</w:t>
            </w:r>
            <w:r>
              <w:rPr>
                <w:rFonts w:ascii="Times New Roman" w:eastAsia="Times New Roman" w:hAnsi="Times New Roman" w:cs="Times New Roman"/>
                <w:sz w:val="24"/>
                <w:szCs w:val="24"/>
                <w:lang w:eastAsia="lv-LV"/>
              </w:rPr>
              <w:t>, izsekojamībai</w:t>
            </w:r>
            <w:r w:rsidRPr="00BC1169">
              <w:rPr>
                <w:rFonts w:ascii="Times New Roman" w:eastAsia="Times New Roman" w:hAnsi="Times New Roman" w:cs="Times New Roman"/>
                <w:sz w:val="24"/>
                <w:szCs w:val="24"/>
                <w:lang w:eastAsia="lv-LV"/>
              </w:rPr>
              <w:t xml:space="preserve"> un caur</w:t>
            </w:r>
            <w:r w:rsidR="009E0207">
              <w:rPr>
                <w:rFonts w:ascii="Times New Roman" w:eastAsia="Times New Roman" w:hAnsi="Times New Roman" w:cs="Times New Roman"/>
                <w:sz w:val="24"/>
                <w:szCs w:val="24"/>
                <w:lang w:eastAsia="lv-LV"/>
              </w:rPr>
              <w:t>redza</w:t>
            </w:r>
            <w:r w:rsidRPr="00BC1169">
              <w:rPr>
                <w:rFonts w:ascii="Times New Roman" w:eastAsia="Times New Roman" w:hAnsi="Times New Roman" w:cs="Times New Roman"/>
                <w:sz w:val="24"/>
                <w:szCs w:val="24"/>
                <w:lang w:eastAsia="lv-LV"/>
              </w:rPr>
              <w:t>mībai nepieciešams šāds detalizēts regulējums.</w:t>
            </w:r>
          </w:p>
          <w:p w14:paraId="49D31F57" w14:textId="77777777" w:rsidR="007E69C9" w:rsidRPr="001A6FB5" w:rsidRDefault="007E69C9" w:rsidP="007E69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Tādā veidā t</w:t>
            </w:r>
            <w:r w:rsidRPr="00BC1169">
              <w:rPr>
                <w:rFonts w:ascii="Times New Roman" w:eastAsia="Times New Roman" w:hAnsi="Times New Roman" w:cs="Times New Roman"/>
                <w:sz w:val="24"/>
                <w:szCs w:val="24"/>
                <w:lang w:eastAsia="lv-LV"/>
              </w:rPr>
              <w:t xml:space="preserve">iek izslēgta varbūtība, ka līdzekļi </w:t>
            </w:r>
            <w:r>
              <w:rPr>
                <w:rFonts w:ascii="Times New Roman" w:eastAsia="Times New Roman" w:hAnsi="Times New Roman" w:cs="Times New Roman"/>
                <w:sz w:val="24"/>
                <w:szCs w:val="24"/>
                <w:lang w:eastAsia="lv-LV"/>
              </w:rPr>
              <w:t xml:space="preserve">nav pieejami kontingentam apstākļos, kad, piemēram, kontingenta komandieris ir uzdevumā un tā specifikas dēļ nevar līdzekļus saņemt. </w:t>
            </w:r>
            <w:r w:rsidRPr="00BC1169">
              <w:rPr>
                <w:rFonts w:ascii="Times New Roman" w:eastAsia="Times New Roman" w:hAnsi="Times New Roman" w:cs="Times New Roman"/>
                <w:sz w:val="24"/>
                <w:szCs w:val="24"/>
                <w:lang w:eastAsia="lv-LV"/>
              </w:rPr>
              <w:t xml:space="preserve"> </w:t>
            </w:r>
          </w:p>
        </w:tc>
        <w:tc>
          <w:tcPr>
            <w:tcW w:w="570" w:type="pct"/>
            <w:vMerge w:val="restart"/>
            <w:tcBorders>
              <w:top w:val="outset" w:sz="6" w:space="0" w:color="auto"/>
              <w:left w:val="outset" w:sz="6" w:space="0" w:color="auto"/>
              <w:right w:val="outset" w:sz="6" w:space="0" w:color="auto"/>
            </w:tcBorders>
          </w:tcPr>
          <w:p w14:paraId="43661D14" w14:textId="688E1EAC" w:rsidR="007E69C9" w:rsidRDefault="007074DC" w:rsidP="00475FAA">
            <w:pPr>
              <w:widowControl w:val="0"/>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Papildināt 10.</w:t>
            </w:r>
            <w:r w:rsidR="009E0207">
              <w:rPr>
                <w:rFonts w:ascii="Times New Roman" w:eastAsia="Calibri" w:hAnsi="Times New Roman" w:cs="Times New Roman"/>
                <w:sz w:val="24"/>
                <w:szCs w:val="24"/>
              </w:rPr>
              <w:t> </w:t>
            </w:r>
            <w:r>
              <w:rPr>
                <w:rFonts w:ascii="Times New Roman" w:eastAsia="Calibri" w:hAnsi="Times New Roman" w:cs="Times New Roman"/>
                <w:sz w:val="24"/>
                <w:szCs w:val="24"/>
              </w:rPr>
              <w:t>punktu</w:t>
            </w:r>
            <w:r w:rsidR="007E69C9" w:rsidRPr="004D337E">
              <w:rPr>
                <w:rFonts w:ascii="Times New Roman" w:eastAsia="Calibri" w:hAnsi="Times New Roman" w:cs="Times New Roman"/>
                <w:sz w:val="24"/>
                <w:szCs w:val="24"/>
              </w:rPr>
              <w:t xml:space="preserve"> aiz vārda </w:t>
            </w:r>
            <w:r w:rsidR="009E0207">
              <w:rPr>
                <w:rFonts w:ascii="Times New Roman" w:hAnsi="Times New Roman" w:cs="Times New Roman"/>
                <w:sz w:val="24"/>
                <w:szCs w:val="24"/>
              </w:rPr>
              <w:t>“</w:t>
            </w:r>
            <w:r w:rsidR="007E69C9" w:rsidRPr="004D337E">
              <w:rPr>
                <w:rFonts w:ascii="Times New Roman" w:hAnsi="Times New Roman" w:cs="Times New Roman"/>
                <w:sz w:val="24"/>
                <w:szCs w:val="24"/>
              </w:rPr>
              <w:t xml:space="preserve">komandieris” </w:t>
            </w:r>
            <w:r w:rsidR="007E69C9">
              <w:rPr>
                <w:rFonts w:ascii="Times New Roman" w:eastAsia="Calibri" w:hAnsi="Times New Roman" w:cs="Times New Roman"/>
                <w:sz w:val="24"/>
                <w:szCs w:val="24"/>
              </w:rPr>
              <w:t>ar vārdiem</w:t>
            </w:r>
            <w:r w:rsidR="007E69C9" w:rsidRPr="004D337E">
              <w:rPr>
                <w:rFonts w:ascii="Times New Roman" w:eastAsia="Calibri" w:hAnsi="Times New Roman" w:cs="Times New Roman"/>
                <w:sz w:val="24"/>
                <w:szCs w:val="24"/>
              </w:rPr>
              <w:t xml:space="preserve"> </w:t>
            </w:r>
            <w:r w:rsidR="009E0207">
              <w:rPr>
                <w:rFonts w:ascii="Times New Roman" w:hAnsi="Times New Roman" w:cs="Times New Roman"/>
                <w:sz w:val="24"/>
                <w:szCs w:val="24"/>
              </w:rPr>
              <w:t>“</w:t>
            </w:r>
            <w:r w:rsidR="007E69C9">
              <w:rPr>
                <w:rFonts w:ascii="Times New Roman" w:hAnsi="Times New Roman" w:cs="Times New Roman"/>
                <w:sz w:val="24"/>
                <w:szCs w:val="24"/>
              </w:rPr>
              <w:t xml:space="preserve">vai viņa </w:t>
            </w:r>
            <w:r w:rsidR="007E69C9" w:rsidRPr="00D45F60">
              <w:rPr>
                <w:rFonts w:ascii="Times New Roman" w:hAnsi="Times New Roman" w:cs="Times New Roman"/>
                <w:b/>
                <w:sz w:val="24"/>
                <w:szCs w:val="24"/>
              </w:rPr>
              <w:t>noteikta amatpersona</w:t>
            </w:r>
            <w:r w:rsidR="007E69C9">
              <w:rPr>
                <w:rFonts w:ascii="Times New Roman" w:hAnsi="Times New Roman" w:cs="Times New Roman"/>
                <w:sz w:val="24"/>
                <w:szCs w:val="24"/>
              </w:rPr>
              <w:t>”</w:t>
            </w:r>
            <w:r w:rsidR="007E69C9">
              <w:rPr>
                <w:rFonts w:ascii="Times New Roman" w:eastAsia="Calibri" w:hAnsi="Times New Roman" w:cs="Times New Roman"/>
                <w:sz w:val="24"/>
                <w:szCs w:val="24"/>
              </w:rPr>
              <w:t>.</w:t>
            </w:r>
          </w:p>
          <w:p w14:paraId="3F766541" w14:textId="6A35C5AF" w:rsidR="007E69C9" w:rsidRDefault="007E69C9" w:rsidP="00475FAA">
            <w:pPr>
              <w:widowControl w:val="0"/>
              <w:spacing w:line="276" w:lineRule="auto"/>
              <w:jc w:val="both"/>
              <w:rPr>
                <w:rFonts w:ascii="Times New Roman" w:eastAsia="Calibri" w:hAnsi="Times New Roman" w:cs="Times New Roman"/>
                <w:sz w:val="24"/>
                <w:szCs w:val="24"/>
              </w:rPr>
            </w:pPr>
            <w:r w:rsidRPr="004D337E">
              <w:rPr>
                <w:rFonts w:ascii="Times New Roman" w:eastAsia="Calibri" w:hAnsi="Times New Roman" w:cs="Times New Roman"/>
                <w:sz w:val="24"/>
                <w:szCs w:val="24"/>
              </w:rPr>
              <w:t xml:space="preserve">3. </w:t>
            </w:r>
            <w:r w:rsidRPr="00D45F60">
              <w:rPr>
                <w:rFonts w:ascii="Times New Roman" w:eastAsia="Calibri" w:hAnsi="Times New Roman" w:cs="Times New Roman"/>
                <w:b/>
                <w:sz w:val="24"/>
                <w:szCs w:val="24"/>
              </w:rPr>
              <w:t>Svītrot</w:t>
            </w:r>
            <w:r w:rsidRPr="004D337E">
              <w:rPr>
                <w:rFonts w:ascii="Times New Roman" w:eastAsia="Calibri" w:hAnsi="Times New Roman" w:cs="Times New Roman"/>
                <w:sz w:val="24"/>
                <w:szCs w:val="24"/>
              </w:rPr>
              <w:t xml:space="preserve"> </w:t>
            </w:r>
            <w:r w:rsidR="00822D09">
              <w:rPr>
                <w:rFonts w:ascii="Times New Roman" w:eastAsia="Calibri" w:hAnsi="Times New Roman" w:cs="Times New Roman"/>
                <w:sz w:val="24"/>
                <w:szCs w:val="24"/>
              </w:rPr>
              <w:t xml:space="preserve">Ministru kabineta noteikumu </w:t>
            </w:r>
            <w:r w:rsidRPr="004D337E">
              <w:rPr>
                <w:rFonts w:ascii="Times New Roman" w:eastAsia="Calibri" w:hAnsi="Times New Roman" w:cs="Times New Roman"/>
                <w:sz w:val="24"/>
                <w:szCs w:val="24"/>
              </w:rPr>
              <w:t>11.</w:t>
            </w:r>
            <w:r w:rsidR="009E0207">
              <w:rPr>
                <w:rFonts w:ascii="Times New Roman" w:eastAsia="Calibri" w:hAnsi="Times New Roman" w:cs="Times New Roman"/>
                <w:sz w:val="24"/>
                <w:szCs w:val="24"/>
              </w:rPr>
              <w:t> </w:t>
            </w:r>
            <w:r w:rsidRPr="004D337E">
              <w:rPr>
                <w:rFonts w:ascii="Times New Roman" w:eastAsia="Calibri" w:hAnsi="Times New Roman" w:cs="Times New Roman"/>
                <w:sz w:val="24"/>
                <w:szCs w:val="24"/>
              </w:rPr>
              <w:t>punktu</w:t>
            </w:r>
            <w:r w:rsidR="00822D09">
              <w:rPr>
                <w:rFonts w:ascii="Times New Roman" w:eastAsia="Calibri" w:hAnsi="Times New Roman" w:cs="Times New Roman"/>
                <w:sz w:val="24"/>
                <w:szCs w:val="24"/>
              </w:rPr>
              <w:t xml:space="preserve"> (šī noteikumu projekta </w:t>
            </w:r>
            <w:r w:rsidR="00822D09">
              <w:rPr>
                <w:rFonts w:ascii="Times New Roman" w:eastAsia="Calibri" w:hAnsi="Times New Roman" w:cs="Times New Roman"/>
                <w:sz w:val="24"/>
                <w:szCs w:val="24"/>
              </w:rPr>
              <w:lastRenderedPageBreak/>
              <w:t>3.</w:t>
            </w:r>
            <w:r w:rsidR="009E0207">
              <w:rPr>
                <w:rFonts w:ascii="Times New Roman" w:eastAsia="Calibri" w:hAnsi="Times New Roman" w:cs="Times New Roman"/>
                <w:sz w:val="24"/>
                <w:szCs w:val="24"/>
              </w:rPr>
              <w:t> </w:t>
            </w:r>
            <w:r w:rsidR="00822D09">
              <w:rPr>
                <w:rFonts w:ascii="Times New Roman" w:eastAsia="Calibri" w:hAnsi="Times New Roman" w:cs="Times New Roman"/>
                <w:sz w:val="24"/>
                <w:szCs w:val="24"/>
              </w:rPr>
              <w:t>punkts)</w:t>
            </w:r>
            <w:r w:rsidR="008E31C9">
              <w:rPr>
                <w:rFonts w:ascii="Times New Roman" w:eastAsia="Calibri" w:hAnsi="Times New Roman" w:cs="Times New Roman"/>
                <w:sz w:val="24"/>
                <w:szCs w:val="24"/>
              </w:rPr>
              <w:t>.</w:t>
            </w:r>
          </w:p>
          <w:p w14:paraId="3C17320D" w14:textId="663B8949" w:rsidR="008A6161" w:rsidRPr="00DC7558" w:rsidRDefault="008A6161" w:rsidP="00475FAA">
            <w:pPr>
              <w:spacing w:line="276" w:lineRule="auto"/>
              <w:jc w:val="both"/>
              <w:rPr>
                <w:rFonts w:ascii="Times New Roman" w:eastAsia="Times New Roman" w:hAnsi="Times New Roman" w:cs="Times New Roman"/>
                <w:b/>
                <w:sz w:val="24"/>
                <w:szCs w:val="24"/>
                <w:lang w:eastAsia="lv-LV"/>
              </w:rPr>
            </w:pPr>
            <w:r w:rsidRPr="00DC7558">
              <w:rPr>
                <w:rFonts w:ascii="Times New Roman" w:eastAsia="Times New Roman" w:hAnsi="Times New Roman" w:cs="Times New Roman"/>
                <w:b/>
                <w:sz w:val="24"/>
                <w:szCs w:val="24"/>
                <w:lang w:eastAsia="lv-LV"/>
              </w:rPr>
              <w:t>Anotācijas I</w:t>
            </w:r>
            <w:r w:rsidR="009E0207">
              <w:rPr>
                <w:rFonts w:ascii="Times New Roman" w:eastAsia="Times New Roman" w:hAnsi="Times New Roman" w:cs="Times New Roman"/>
                <w:b/>
                <w:sz w:val="24"/>
                <w:szCs w:val="24"/>
                <w:lang w:eastAsia="lv-LV"/>
              </w:rPr>
              <w:t> </w:t>
            </w:r>
            <w:r w:rsidRPr="00DC7558">
              <w:rPr>
                <w:rFonts w:ascii="Times New Roman" w:eastAsia="Times New Roman" w:hAnsi="Times New Roman" w:cs="Times New Roman"/>
                <w:b/>
                <w:sz w:val="24"/>
                <w:szCs w:val="24"/>
                <w:lang w:eastAsia="lv-LV"/>
              </w:rPr>
              <w:t xml:space="preserve">sadaļas </w:t>
            </w:r>
            <w:r>
              <w:rPr>
                <w:rFonts w:ascii="Times New Roman" w:eastAsia="Times New Roman" w:hAnsi="Times New Roman" w:cs="Times New Roman"/>
                <w:b/>
                <w:sz w:val="24"/>
                <w:szCs w:val="24"/>
                <w:lang w:eastAsia="lv-LV"/>
              </w:rPr>
              <w:t>otrais</w:t>
            </w:r>
            <w:r w:rsidRPr="00DC7558">
              <w:rPr>
                <w:rFonts w:ascii="Times New Roman" w:eastAsia="Times New Roman" w:hAnsi="Times New Roman" w:cs="Times New Roman"/>
                <w:b/>
                <w:sz w:val="24"/>
                <w:szCs w:val="24"/>
                <w:lang w:eastAsia="lv-LV"/>
              </w:rPr>
              <w:t xml:space="preserve"> punkts papildināts ar šādiem vārdiem: </w:t>
            </w:r>
          </w:p>
          <w:p w14:paraId="60E7E27B" w14:textId="335A650F" w:rsidR="008A6161" w:rsidRDefault="008A6161" w:rsidP="00475FAA">
            <w:pPr>
              <w:pStyle w:val="CommentText"/>
              <w:spacing w:after="0"/>
              <w:jc w:val="both"/>
              <w:rPr>
                <w:rFonts w:ascii="Times New Roman" w:hAnsi="Times New Roman" w:cs="Times New Roman"/>
                <w:sz w:val="24"/>
                <w:szCs w:val="24"/>
              </w:rPr>
            </w:pPr>
            <w:r>
              <w:rPr>
                <w:rFonts w:ascii="Times New Roman" w:hAnsi="Times New Roman" w:cs="Times New Roman"/>
                <w:sz w:val="24"/>
                <w:szCs w:val="24"/>
                <w:lang w:eastAsia="lv-LV"/>
              </w:rPr>
              <w:t>“</w:t>
            </w:r>
            <w:r w:rsidRPr="00AA4E42">
              <w:rPr>
                <w:rFonts w:ascii="Times New Roman" w:hAnsi="Times New Roman" w:cs="Times New Roman"/>
                <w:sz w:val="24"/>
                <w:szCs w:val="24"/>
                <w:lang w:eastAsia="lv-LV"/>
              </w:rPr>
              <w:t>Saskaņā ar Nacionālo bruņoto spēku</w:t>
            </w:r>
            <w:r w:rsidR="00A86ECA">
              <w:rPr>
                <w:rFonts w:ascii="Times New Roman" w:hAnsi="Times New Roman" w:cs="Times New Roman"/>
                <w:sz w:val="24"/>
                <w:szCs w:val="24"/>
                <w:lang w:eastAsia="lv-LV"/>
              </w:rPr>
              <w:t xml:space="preserve"> likuma</w:t>
            </w:r>
            <w:r w:rsidRPr="00AA4E42">
              <w:rPr>
                <w:rFonts w:ascii="Times New Roman" w:hAnsi="Times New Roman" w:cs="Times New Roman"/>
                <w:sz w:val="24"/>
                <w:szCs w:val="24"/>
                <w:lang w:eastAsia="lv-LV"/>
              </w:rPr>
              <w:t xml:space="preserve"> 13.</w:t>
            </w:r>
            <w:r>
              <w:rPr>
                <w:rFonts w:ascii="Times New Roman" w:hAnsi="Times New Roman" w:cs="Times New Roman"/>
                <w:sz w:val="24"/>
                <w:szCs w:val="24"/>
                <w:lang w:eastAsia="lv-LV"/>
              </w:rPr>
              <w:t> </w:t>
            </w:r>
            <w:r w:rsidRPr="00AA4E42">
              <w:rPr>
                <w:rFonts w:ascii="Times New Roman" w:hAnsi="Times New Roman" w:cs="Times New Roman"/>
                <w:sz w:val="24"/>
                <w:szCs w:val="24"/>
                <w:lang w:eastAsia="lv-LV"/>
              </w:rPr>
              <w:t>panta pirmo daļu</w:t>
            </w:r>
            <w:r w:rsidR="00471A56">
              <w:rPr>
                <w:rFonts w:ascii="Times New Roman" w:hAnsi="Times New Roman" w:cs="Times New Roman"/>
                <w:sz w:val="24"/>
                <w:szCs w:val="24"/>
                <w:lang w:eastAsia="lv-LV"/>
              </w:rPr>
              <w:t xml:space="preserve"> </w:t>
            </w:r>
            <w:r w:rsidRPr="00AA4E42">
              <w:rPr>
                <w:rFonts w:ascii="Times New Roman" w:hAnsi="Times New Roman" w:cs="Times New Roman"/>
                <w:sz w:val="24"/>
                <w:szCs w:val="24"/>
              </w:rPr>
              <w:t>NBS komandieris</w:t>
            </w:r>
            <w:r w:rsidRPr="00EB3A64">
              <w:rPr>
                <w:rFonts w:ascii="Times New Roman" w:hAnsi="Times New Roman" w:cs="Times New Roman"/>
                <w:sz w:val="24"/>
                <w:szCs w:val="24"/>
              </w:rPr>
              <w:t xml:space="preserve"> ir valsts augstākā militārā amatpersona. </w:t>
            </w:r>
            <w:r w:rsidRPr="00AA4E42">
              <w:rPr>
                <w:rFonts w:ascii="Times New Roman" w:hAnsi="Times New Roman" w:cs="Times New Roman"/>
                <w:sz w:val="24"/>
                <w:szCs w:val="24"/>
              </w:rPr>
              <w:t xml:space="preserve">Grozījumi ir </w:t>
            </w:r>
            <w:r w:rsidRPr="00EB3A64">
              <w:rPr>
                <w:rFonts w:ascii="Times New Roman" w:hAnsi="Times New Roman" w:cs="Times New Roman"/>
                <w:sz w:val="24"/>
                <w:szCs w:val="24"/>
              </w:rPr>
              <w:t>nepieciešami, lai atvieglotu</w:t>
            </w:r>
            <w:r w:rsidRPr="00AA4E42">
              <w:rPr>
                <w:rFonts w:ascii="Times New Roman" w:hAnsi="Times New Roman" w:cs="Times New Roman"/>
                <w:sz w:val="24"/>
                <w:szCs w:val="24"/>
              </w:rPr>
              <w:t xml:space="preserve"> valsts augstākās militārās amatpersonas slodzi </w:t>
            </w:r>
            <w:r w:rsidRPr="00AA4E42">
              <w:rPr>
                <w:rFonts w:ascii="Times New Roman" w:eastAsia="Calibri" w:hAnsi="Times New Roman" w:cs="Times New Roman"/>
                <w:sz w:val="24"/>
                <w:szCs w:val="24"/>
                <w:lang w:eastAsia="lv-LV"/>
              </w:rPr>
              <w:t xml:space="preserve">un šādu tāmju apstiprināšanas procedūru. Plānots, ka šāda </w:t>
            </w:r>
            <w:r w:rsidRPr="00AA4E42">
              <w:rPr>
                <w:rFonts w:ascii="Times New Roman" w:eastAsia="Calibri" w:hAnsi="Times New Roman" w:cs="Times New Roman"/>
                <w:sz w:val="24"/>
                <w:szCs w:val="24"/>
                <w:lang w:eastAsia="lv-LV"/>
              </w:rPr>
              <w:lastRenderedPageBreak/>
              <w:t xml:space="preserve">noteikta </w:t>
            </w:r>
            <w:r>
              <w:rPr>
                <w:rFonts w:ascii="Times New Roman" w:eastAsia="Calibri" w:hAnsi="Times New Roman" w:cs="Times New Roman"/>
                <w:sz w:val="24"/>
                <w:szCs w:val="24"/>
                <w:lang w:eastAsia="lv-LV"/>
              </w:rPr>
              <w:t>amat</w:t>
            </w:r>
            <w:r w:rsidRPr="00AA4E42">
              <w:rPr>
                <w:rFonts w:ascii="Times New Roman" w:eastAsia="Calibri" w:hAnsi="Times New Roman" w:cs="Times New Roman"/>
                <w:sz w:val="24"/>
                <w:szCs w:val="24"/>
                <w:lang w:eastAsia="lv-LV"/>
              </w:rPr>
              <w:t>persona būs NBS Apvienotā štāba priekšnieks (NBS komandiera vietnieks) vai attiecīgi viņa vietnieki</w:t>
            </w:r>
            <w:r w:rsidRPr="00AA4E42">
              <w:rPr>
                <w:rFonts w:ascii="Times New Roman" w:hAnsi="Times New Roman" w:cs="Times New Roman"/>
                <w:sz w:val="24"/>
                <w:szCs w:val="24"/>
              </w:rPr>
              <w:t xml:space="preserve">. Atbilstoši </w:t>
            </w:r>
            <w:r w:rsidRPr="00AA4E42">
              <w:rPr>
                <w:rFonts w:ascii="Times New Roman" w:hAnsi="Times New Roman" w:cs="Times New Roman"/>
                <w:sz w:val="24"/>
                <w:szCs w:val="24"/>
                <w:lang w:eastAsia="lv-LV"/>
              </w:rPr>
              <w:t>Nacionālo bruņoto spēku 14.</w:t>
            </w:r>
            <w:r>
              <w:rPr>
                <w:rFonts w:ascii="Times New Roman" w:hAnsi="Times New Roman" w:cs="Times New Roman"/>
                <w:sz w:val="24"/>
                <w:szCs w:val="24"/>
                <w:lang w:eastAsia="lv-LV"/>
              </w:rPr>
              <w:t> </w:t>
            </w:r>
            <w:r w:rsidRPr="00AA4E42">
              <w:rPr>
                <w:rFonts w:ascii="Times New Roman" w:hAnsi="Times New Roman" w:cs="Times New Roman"/>
                <w:sz w:val="24"/>
                <w:szCs w:val="24"/>
                <w:lang w:eastAsia="lv-LV"/>
              </w:rPr>
              <w:t>panta otrās daļas 2.</w:t>
            </w:r>
            <w:r>
              <w:rPr>
                <w:rFonts w:ascii="Times New Roman" w:hAnsi="Times New Roman" w:cs="Times New Roman"/>
                <w:sz w:val="24"/>
                <w:szCs w:val="24"/>
                <w:lang w:eastAsia="lv-LV"/>
              </w:rPr>
              <w:t> </w:t>
            </w:r>
            <w:r w:rsidRPr="00AA4E42">
              <w:rPr>
                <w:rFonts w:ascii="Times New Roman" w:hAnsi="Times New Roman" w:cs="Times New Roman"/>
                <w:sz w:val="24"/>
                <w:szCs w:val="24"/>
                <w:lang w:eastAsia="lv-LV"/>
              </w:rPr>
              <w:t>punktam</w:t>
            </w:r>
            <w:r>
              <w:rPr>
                <w:rFonts w:ascii="Times New Roman" w:hAnsi="Times New Roman" w:cs="Times New Roman"/>
                <w:sz w:val="24"/>
                <w:szCs w:val="24"/>
                <w:lang w:eastAsia="lv-LV"/>
              </w:rPr>
              <w:t xml:space="preserve"> NBS </w:t>
            </w:r>
            <w:r w:rsidRPr="00AA4E42">
              <w:rPr>
                <w:rFonts w:ascii="Times New Roman" w:hAnsi="Times New Roman" w:cs="Times New Roman"/>
                <w:sz w:val="24"/>
                <w:szCs w:val="24"/>
                <w:lang w:eastAsia="lv-LV"/>
              </w:rPr>
              <w:t>komandieris</w:t>
            </w:r>
            <w:r w:rsidRPr="00EB3A64">
              <w:rPr>
                <w:rFonts w:ascii="Times New Roman" w:hAnsi="Times New Roman" w:cs="Times New Roman"/>
                <w:sz w:val="24"/>
                <w:szCs w:val="24"/>
              </w:rPr>
              <w:t xml:space="preserve"> nodrošina Nacionālo bruņoto spēku nepārtrauktu vadību, uzdevumu pl</w:t>
            </w:r>
            <w:r>
              <w:rPr>
                <w:rFonts w:ascii="Times New Roman" w:hAnsi="Times New Roman" w:cs="Times New Roman"/>
                <w:sz w:val="24"/>
                <w:szCs w:val="24"/>
              </w:rPr>
              <w:t>ānošanu un to izpildes kontroli,</w:t>
            </w:r>
            <w:r w:rsidRPr="00EB3A64">
              <w:rPr>
                <w:rFonts w:ascii="Times New Roman" w:hAnsi="Times New Roman" w:cs="Times New Roman"/>
                <w:sz w:val="24"/>
                <w:szCs w:val="24"/>
              </w:rPr>
              <w:t xml:space="preserve"> tādējādi  NBS komandiera atbildības apjoms netiks samazināts un </w:t>
            </w:r>
            <w:r w:rsidRPr="00EB3A64">
              <w:rPr>
                <w:rFonts w:ascii="Times New Roman" w:hAnsi="Times New Roman" w:cs="Times New Roman"/>
                <w:sz w:val="24"/>
                <w:szCs w:val="24"/>
              </w:rPr>
              <w:lastRenderedPageBreak/>
              <w:t>tiks nodrošināta nepieciešamā līdzekļu izlieto</w:t>
            </w:r>
            <w:r w:rsidR="009E0207">
              <w:rPr>
                <w:rFonts w:ascii="Times New Roman" w:hAnsi="Times New Roman" w:cs="Times New Roman"/>
                <w:sz w:val="24"/>
                <w:szCs w:val="24"/>
              </w:rPr>
              <w:t>juma</w:t>
            </w:r>
            <w:r w:rsidRPr="00EB3A64">
              <w:rPr>
                <w:rFonts w:ascii="Times New Roman" w:hAnsi="Times New Roman" w:cs="Times New Roman"/>
                <w:sz w:val="24"/>
                <w:szCs w:val="24"/>
              </w:rPr>
              <w:t xml:space="preserve"> kontrole.</w:t>
            </w:r>
          </w:p>
          <w:p w14:paraId="3AE866A5" w14:textId="77777777" w:rsidR="008A6161" w:rsidRPr="008A6161" w:rsidRDefault="008A6161" w:rsidP="00475FAA">
            <w:pPr>
              <w:pStyle w:val="CommentText"/>
              <w:spacing w:after="0"/>
              <w:ind w:firstLine="379"/>
              <w:jc w:val="both"/>
              <w:rPr>
                <w:rFonts w:ascii="Times New Roman" w:hAnsi="Times New Roman" w:cs="Times New Roman"/>
                <w:sz w:val="24"/>
              </w:rPr>
            </w:pPr>
            <w:r w:rsidRPr="00EB3A64">
              <w:rPr>
                <w:rFonts w:ascii="Times New Roman" w:hAnsi="Times New Roman" w:cs="Times New Roman"/>
                <w:sz w:val="24"/>
              </w:rPr>
              <w:t>Ar noteikumu projektu tiks svītrots 11.</w:t>
            </w:r>
            <w:r>
              <w:rPr>
                <w:rFonts w:ascii="Times New Roman" w:hAnsi="Times New Roman" w:cs="Times New Roman"/>
                <w:sz w:val="24"/>
              </w:rPr>
              <w:t> </w:t>
            </w:r>
            <w:r w:rsidRPr="00EB3A64">
              <w:rPr>
                <w:rFonts w:ascii="Times New Roman" w:hAnsi="Times New Roman" w:cs="Times New Roman"/>
                <w:sz w:val="24"/>
              </w:rPr>
              <w:t xml:space="preserve">punkts, jo </w:t>
            </w:r>
            <w:r w:rsidRPr="00DC2662">
              <w:rPr>
                <w:rFonts w:ascii="Times New Roman" w:hAnsi="Times New Roman" w:cs="Times New Roman"/>
                <w:sz w:val="24"/>
              </w:rPr>
              <w:t>attiecīgo jautājumu ir iespējams risināt, izmantojot iekšējos normatīv</w:t>
            </w:r>
            <w:r>
              <w:rPr>
                <w:rFonts w:ascii="Times New Roman" w:hAnsi="Times New Roman" w:cs="Times New Roman"/>
                <w:sz w:val="24"/>
              </w:rPr>
              <w:t>os aktus un rīkojuma dokumentus</w:t>
            </w:r>
            <w:r w:rsidRPr="00DC2662">
              <w:rPr>
                <w:rFonts w:ascii="Times New Roman" w:hAnsi="Times New Roman" w:cs="Times New Roman"/>
                <w:sz w:val="24"/>
              </w:rPr>
              <w:t>. Tāpēc šāds regulējums ārējā normatīvajā aktā nav nepieciešams.</w:t>
            </w:r>
            <w:r>
              <w:rPr>
                <w:rFonts w:ascii="Times New Roman" w:hAnsi="Times New Roman" w:cs="Times New Roman"/>
                <w:sz w:val="24"/>
              </w:rPr>
              <w:t xml:space="preserve"> </w:t>
            </w:r>
            <w:r w:rsidRPr="00DA3E33">
              <w:rPr>
                <w:rFonts w:ascii="Times New Roman" w:hAnsi="Times New Roman" w:cs="Times New Roman"/>
                <w:sz w:val="24"/>
                <w:szCs w:val="24"/>
              </w:rPr>
              <w:t xml:space="preserve">Turklāt </w:t>
            </w:r>
            <w:r w:rsidRPr="00AA4E42">
              <w:rPr>
                <w:rFonts w:ascii="Times New Roman" w:eastAsia="Calibri" w:hAnsi="Times New Roman" w:cs="Times New Roman"/>
                <w:sz w:val="24"/>
                <w:szCs w:val="24"/>
              </w:rPr>
              <w:t xml:space="preserve">Ministru kabineta </w:t>
            </w:r>
            <w:r w:rsidR="00475FAA">
              <w:rPr>
                <w:rFonts w:ascii="Times New Roman" w:eastAsia="Calibri" w:hAnsi="Times New Roman" w:cs="Times New Roman"/>
                <w:sz w:val="24"/>
                <w:szCs w:val="24"/>
              </w:rPr>
              <w:t>2014. gada 26. augusta noteikumi</w:t>
            </w:r>
            <w:r w:rsidRPr="00AA4E42">
              <w:rPr>
                <w:rFonts w:ascii="Times New Roman" w:eastAsia="Calibri" w:hAnsi="Times New Roman" w:cs="Times New Roman"/>
                <w:sz w:val="24"/>
                <w:szCs w:val="24"/>
              </w:rPr>
              <w:t xml:space="preserve"> </w:t>
            </w:r>
            <w:r w:rsidRPr="00AA4E42">
              <w:rPr>
                <w:rFonts w:ascii="Times New Roman" w:eastAsia="Calibri" w:hAnsi="Times New Roman" w:cs="Times New Roman"/>
                <w:sz w:val="24"/>
                <w:szCs w:val="24"/>
              </w:rPr>
              <w:lastRenderedPageBreak/>
              <w:t xml:space="preserve">Nr. 508 </w:t>
            </w:r>
            <w:r w:rsidRPr="00EB3A64">
              <w:rPr>
                <w:rFonts w:ascii="Times New Roman" w:hAnsi="Times New Roman" w:cs="Times New Roman"/>
                <w:sz w:val="24"/>
                <w:szCs w:val="24"/>
              </w:rPr>
              <w:t>regulē</w:t>
            </w:r>
            <w:r w:rsidRPr="00DA3E33">
              <w:rPr>
                <w:rFonts w:ascii="Times New Roman" w:hAnsi="Times New Roman" w:cs="Times New Roman"/>
                <w:sz w:val="24"/>
                <w:szCs w:val="24"/>
              </w:rPr>
              <w:t xml:space="preserve"> Latvijas NBS kontingenta,</w:t>
            </w:r>
            <w:r w:rsidRPr="00EB3A64">
              <w:rPr>
                <w:rFonts w:ascii="Times New Roman" w:hAnsi="Times New Roman" w:cs="Times New Roman"/>
                <w:sz w:val="24"/>
                <w:szCs w:val="24"/>
              </w:rPr>
              <w:t xml:space="preserve"> kas piedalās starptautiskajās operācijās un ātrās reaģēšanas spēkos, finansēšanas kārt</w:t>
            </w:r>
            <w:r w:rsidRPr="00DA3E33">
              <w:rPr>
                <w:rFonts w:ascii="Times New Roman" w:hAnsi="Times New Roman" w:cs="Times New Roman"/>
                <w:sz w:val="24"/>
                <w:szCs w:val="24"/>
              </w:rPr>
              <w:t>ību</w:t>
            </w:r>
            <w:r w:rsidRPr="00EB3A64">
              <w:rPr>
                <w:rFonts w:ascii="Times New Roman" w:hAnsi="Times New Roman" w:cs="Times New Roman"/>
                <w:sz w:val="24"/>
                <w:szCs w:val="24"/>
              </w:rPr>
              <w:t>, ne</w:t>
            </w:r>
            <w:r w:rsidRPr="00DA3E33">
              <w:rPr>
                <w:rFonts w:ascii="Times New Roman" w:hAnsi="Times New Roman" w:cs="Times New Roman"/>
                <w:sz w:val="24"/>
                <w:szCs w:val="24"/>
              </w:rPr>
              <w:t>vis</w:t>
            </w:r>
            <w:r w:rsidRPr="00EB3A64">
              <w:rPr>
                <w:rFonts w:ascii="Times New Roman" w:hAnsi="Times New Roman" w:cs="Times New Roman"/>
                <w:sz w:val="24"/>
                <w:szCs w:val="24"/>
              </w:rPr>
              <w:t xml:space="preserve"> </w:t>
            </w:r>
            <w:r>
              <w:rPr>
                <w:rFonts w:ascii="Times New Roman" w:hAnsi="Times New Roman" w:cs="Times New Roman"/>
                <w:sz w:val="24"/>
                <w:szCs w:val="24"/>
              </w:rPr>
              <w:t xml:space="preserve">attiecīgo </w:t>
            </w:r>
            <w:r w:rsidRPr="00EB3A64">
              <w:rPr>
                <w:rFonts w:ascii="Times New Roman" w:hAnsi="Times New Roman" w:cs="Times New Roman"/>
                <w:sz w:val="24"/>
                <w:szCs w:val="24"/>
              </w:rPr>
              <w:t>budžeta līdzekļu izmantošanas k</w:t>
            </w:r>
            <w:r w:rsidRPr="00DA3E33">
              <w:rPr>
                <w:rFonts w:ascii="Times New Roman" w:hAnsi="Times New Roman" w:cs="Times New Roman"/>
                <w:sz w:val="24"/>
                <w:szCs w:val="24"/>
              </w:rPr>
              <w:t>ārtību.</w:t>
            </w:r>
            <w:r>
              <w:rPr>
                <w:rFonts w:ascii="Times New Roman" w:hAnsi="Times New Roman" w:cs="Times New Roman"/>
                <w:sz w:val="24"/>
                <w:szCs w:val="24"/>
              </w:rPr>
              <w:t>”</w:t>
            </w:r>
          </w:p>
        </w:tc>
      </w:tr>
      <w:tr w:rsidR="007E69C9" w:rsidRPr="004D337E" w14:paraId="32AEDCB4" w14:textId="77777777" w:rsidTr="007E69C9">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tcPr>
          <w:p w14:paraId="78219611" w14:textId="77777777" w:rsidR="007E69C9" w:rsidRDefault="007E69C9" w:rsidP="00D559F1">
            <w:pPr>
              <w:spacing w:after="0" w:line="240" w:lineRule="auto"/>
              <w:rPr>
                <w:rFonts w:ascii="Times New Roman" w:eastAsia="Times New Roman" w:hAnsi="Times New Roman" w:cs="Times New Roman"/>
                <w:sz w:val="24"/>
                <w:szCs w:val="24"/>
                <w:lang w:eastAsia="lv-LV"/>
              </w:rPr>
            </w:pPr>
          </w:p>
        </w:tc>
        <w:tc>
          <w:tcPr>
            <w:tcW w:w="876" w:type="pct"/>
            <w:vMerge/>
            <w:tcBorders>
              <w:left w:val="outset" w:sz="6" w:space="0" w:color="auto"/>
              <w:bottom w:val="outset" w:sz="6" w:space="0" w:color="auto"/>
              <w:right w:val="outset" w:sz="6" w:space="0" w:color="auto"/>
            </w:tcBorders>
          </w:tcPr>
          <w:p w14:paraId="3B87135F" w14:textId="77777777" w:rsidR="007E69C9" w:rsidRDefault="007E69C9" w:rsidP="00D559F1">
            <w:pPr>
              <w:ind w:firstLine="720"/>
              <w:jc w:val="both"/>
            </w:pPr>
          </w:p>
        </w:tc>
        <w:tc>
          <w:tcPr>
            <w:tcW w:w="1571" w:type="pct"/>
            <w:tcBorders>
              <w:top w:val="outset" w:sz="6" w:space="0" w:color="auto"/>
              <w:left w:val="outset" w:sz="6" w:space="0" w:color="auto"/>
              <w:bottom w:val="outset" w:sz="6" w:space="0" w:color="auto"/>
              <w:right w:val="outset" w:sz="6" w:space="0" w:color="auto"/>
            </w:tcBorders>
          </w:tcPr>
          <w:p w14:paraId="47FEF901" w14:textId="77777777" w:rsidR="007E69C9" w:rsidRDefault="007E69C9" w:rsidP="001A6FB5">
            <w:pPr>
              <w:pStyle w:val="NormalWeb"/>
              <w:spacing w:before="0" w:after="0"/>
              <w:ind w:right="11"/>
              <w:jc w:val="both"/>
              <w:rPr>
                <w:lang w:val="lv-LV"/>
              </w:rPr>
            </w:pPr>
            <w:r>
              <w:rPr>
                <w:lang w:val="lv-LV"/>
              </w:rPr>
              <w:t xml:space="preserve">Vienlaikus aicinām izvērtēt termina "pilnvarota persona" un "apstiprināta amatpersona" lietojumu projektā. Pilnvarojuma attiecības vispārpieņemtajā civiltiesiskajā nozīmē bruņotajos spēkos pamatā nepastāv; uzdevumus nosaka, izmantojot rīkojumus vai pavēles. </w:t>
            </w:r>
          </w:p>
          <w:p w14:paraId="1BA37EDF" w14:textId="77777777" w:rsidR="007E69C9" w:rsidRPr="001A6FB5" w:rsidRDefault="007E69C9" w:rsidP="001A6FB5">
            <w:pPr>
              <w:pStyle w:val="NormalWeb"/>
              <w:spacing w:before="0" w:after="0"/>
              <w:ind w:right="11"/>
              <w:jc w:val="both"/>
              <w:rPr>
                <w:lang w:val="lv-LV"/>
              </w:rPr>
            </w:pPr>
            <w:r>
              <w:rPr>
                <w:lang w:val="lv-LV"/>
              </w:rPr>
              <w:t>Savukārt projekta 3. punktā lietotās vārdkopas "</w:t>
            </w:r>
            <w:r w:rsidRPr="004C5EAB">
              <w:rPr>
                <w:lang w:val="lv-LV"/>
              </w:rPr>
              <w:t>Nacionālo bruņoto spēku komandiera vai viņa pi</w:t>
            </w:r>
            <w:r>
              <w:rPr>
                <w:lang w:val="lv-LV"/>
              </w:rPr>
              <w:t>lnvarotas personas apstiprināta amatpersona" nozīme nav saprotama (piemēram, ar ko atšķiras "pilnvarota" un "apstiprināta" persona vai amatpersona).</w:t>
            </w:r>
          </w:p>
        </w:tc>
        <w:tc>
          <w:tcPr>
            <w:tcW w:w="1644" w:type="pct"/>
            <w:tcBorders>
              <w:top w:val="outset" w:sz="6" w:space="0" w:color="auto"/>
              <w:left w:val="outset" w:sz="6" w:space="0" w:color="auto"/>
              <w:bottom w:val="outset" w:sz="6" w:space="0" w:color="auto"/>
              <w:right w:val="outset" w:sz="6" w:space="0" w:color="auto"/>
            </w:tcBorders>
          </w:tcPr>
          <w:p w14:paraId="6A46ECE1" w14:textId="77777777" w:rsidR="007E69C9" w:rsidRPr="007E69C9" w:rsidRDefault="007E69C9" w:rsidP="001A6FB5">
            <w:pPr>
              <w:spacing w:after="0" w:line="240" w:lineRule="auto"/>
              <w:jc w:val="both"/>
              <w:rPr>
                <w:rFonts w:ascii="Times New Roman" w:hAnsi="Times New Roman"/>
                <w:b/>
                <w:sz w:val="24"/>
                <w:szCs w:val="24"/>
                <w:lang w:eastAsia="lv-LV"/>
              </w:rPr>
            </w:pPr>
            <w:r w:rsidRPr="007E69C9">
              <w:rPr>
                <w:rFonts w:ascii="Times New Roman" w:hAnsi="Times New Roman"/>
                <w:b/>
                <w:sz w:val="24"/>
                <w:szCs w:val="24"/>
                <w:lang w:eastAsia="lv-LV"/>
              </w:rPr>
              <w:t>Ņemts vērā</w:t>
            </w:r>
            <w:r w:rsidR="009E0207">
              <w:rPr>
                <w:rFonts w:ascii="Times New Roman" w:hAnsi="Times New Roman"/>
                <w:b/>
                <w:sz w:val="24"/>
                <w:szCs w:val="24"/>
                <w:lang w:eastAsia="lv-LV"/>
              </w:rPr>
              <w:t>.</w:t>
            </w:r>
          </w:p>
          <w:p w14:paraId="3DFA5299" w14:textId="77777777" w:rsidR="007E69C9" w:rsidRDefault="00E92C58" w:rsidP="001A6FB5">
            <w:pPr>
              <w:spacing w:after="0" w:line="240" w:lineRule="auto"/>
              <w:jc w:val="both"/>
              <w:rPr>
                <w:rFonts w:ascii="Times New Roman" w:hAnsi="Times New Roman"/>
                <w:b/>
                <w:bCs/>
                <w:sz w:val="24"/>
                <w:szCs w:val="24"/>
                <w:lang w:eastAsia="lv-LV"/>
              </w:rPr>
            </w:pPr>
            <w:r w:rsidRPr="00E92C58">
              <w:rPr>
                <w:rFonts w:ascii="Times New Roman" w:hAnsi="Times New Roman"/>
                <w:b/>
                <w:bCs/>
                <w:sz w:val="24"/>
                <w:szCs w:val="24"/>
                <w:lang w:eastAsia="lv-LV"/>
              </w:rPr>
              <w:t>3. punkts svītrots.</w:t>
            </w:r>
          </w:p>
          <w:p w14:paraId="473F8FC6" w14:textId="77777777" w:rsidR="008A6161" w:rsidRDefault="008A6161" w:rsidP="008A6161">
            <w:pPr>
              <w:spacing w:after="0" w:line="240" w:lineRule="auto"/>
              <w:jc w:val="both"/>
              <w:rPr>
                <w:rFonts w:ascii="Times New Roman" w:eastAsia="Times New Roman" w:hAnsi="Times New Roman" w:cs="Times New Roman"/>
                <w:sz w:val="24"/>
                <w:szCs w:val="24"/>
                <w:lang w:eastAsia="lv-LV"/>
              </w:rPr>
            </w:pPr>
            <w:r>
              <w:rPr>
                <w:rFonts w:ascii="Times New Roman" w:hAnsi="Times New Roman"/>
                <w:b/>
                <w:bCs/>
                <w:sz w:val="24"/>
                <w:szCs w:val="24"/>
                <w:lang w:eastAsia="lv-LV"/>
              </w:rPr>
              <w:t>Anotācija ir papildināta un precizēta</w:t>
            </w:r>
            <w:r>
              <w:rPr>
                <w:rFonts w:ascii="Times New Roman" w:eastAsia="Times New Roman" w:hAnsi="Times New Roman" w:cs="Times New Roman"/>
                <w:sz w:val="24"/>
                <w:szCs w:val="24"/>
                <w:lang w:eastAsia="lv-LV"/>
              </w:rPr>
              <w:t>.</w:t>
            </w:r>
          </w:p>
          <w:p w14:paraId="6C7B70C0" w14:textId="77777777" w:rsidR="008A6161" w:rsidRPr="00E92C58" w:rsidRDefault="008A6161" w:rsidP="001A6FB5">
            <w:pPr>
              <w:spacing w:after="0" w:line="240" w:lineRule="auto"/>
              <w:jc w:val="both"/>
              <w:rPr>
                <w:rFonts w:ascii="Times New Roman" w:hAnsi="Times New Roman"/>
                <w:b/>
                <w:bCs/>
                <w:sz w:val="24"/>
                <w:szCs w:val="24"/>
                <w:lang w:eastAsia="lv-LV"/>
              </w:rPr>
            </w:pPr>
          </w:p>
          <w:p w14:paraId="56A15D13" w14:textId="77777777" w:rsidR="007E69C9" w:rsidRDefault="007E69C9" w:rsidP="001A6FB5">
            <w:pPr>
              <w:spacing w:after="0" w:line="240" w:lineRule="auto"/>
              <w:jc w:val="both"/>
              <w:rPr>
                <w:rFonts w:ascii="Times New Roman" w:hAnsi="Times New Roman"/>
                <w:bCs/>
                <w:sz w:val="24"/>
                <w:szCs w:val="24"/>
                <w:lang w:eastAsia="lv-LV"/>
              </w:rPr>
            </w:pPr>
          </w:p>
          <w:p w14:paraId="077C8E54" w14:textId="77777777" w:rsidR="007E69C9" w:rsidRDefault="007E69C9" w:rsidP="001A6FB5">
            <w:pPr>
              <w:spacing w:after="0" w:line="240" w:lineRule="auto"/>
              <w:jc w:val="both"/>
              <w:rPr>
                <w:rFonts w:ascii="Times New Roman" w:hAnsi="Times New Roman"/>
                <w:bCs/>
                <w:sz w:val="24"/>
                <w:szCs w:val="24"/>
                <w:lang w:eastAsia="lv-LV"/>
              </w:rPr>
            </w:pPr>
          </w:p>
          <w:p w14:paraId="506CD99F" w14:textId="77777777" w:rsidR="007E69C9" w:rsidRDefault="007E69C9" w:rsidP="001A6FB5">
            <w:pPr>
              <w:spacing w:after="0" w:line="240" w:lineRule="auto"/>
              <w:jc w:val="both"/>
              <w:rPr>
                <w:rFonts w:ascii="Times New Roman" w:hAnsi="Times New Roman"/>
                <w:bCs/>
                <w:sz w:val="24"/>
                <w:szCs w:val="24"/>
                <w:lang w:eastAsia="lv-LV"/>
              </w:rPr>
            </w:pPr>
          </w:p>
          <w:p w14:paraId="7AE58FEF" w14:textId="77777777" w:rsidR="007E69C9" w:rsidRDefault="007E69C9" w:rsidP="00A123DB">
            <w:pPr>
              <w:jc w:val="both"/>
              <w:rPr>
                <w:rFonts w:ascii="Times New Roman" w:hAnsi="Times New Roman"/>
                <w:color w:val="000000"/>
                <w:sz w:val="24"/>
                <w:szCs w:val="24"/>
                <w:lang w:eastAsia="lv-LV"/>
              </w:rPr>
            </w:pPr>
          </w:p>
          <w:p w14:paraId="53CFC899" w14:textId="77777777" w:rsidR="007E69C9" w:rsidRPr="001A6FB5" w:rsidRDefault="007E69C9" w:rsidP="001A6FB5">
            <w:pPr>
              <w:jc w:val="both"/>
              <w:rPr>
                <w:rFonts w:ascii="Times New Roman" w:hAnsi="Times New Roman"/>
                <w:i/>
                <w:iCs/>
                <w:color w:val="000000"/>
                <w:sz w:val="24"/>
                <w:szCs w:val="24"/>
                <w:lang w:eastAsia="lv-LV"/>
              </w:rPr>
            </w:pPr>
          </w:p>
        </w:tc>
        <w:tc>
          <w:tcPr>
            <w:tcW w:w="570" w:type="pct"/>
            <w:vMerge/>
            <w:tcBorders>
              <w:left w:val="outset" w:sz="6" w:space="0" w:color="auto"/>
              <w:bottom w:val="outset" w:sz="6" w:space="0" w:color="auto"/>
              <w:right w:val="outset" w:sz="6" w:space="0" w:color="auto"/>
            </w:tcBorders>
          </w:tcPr>
          <w:p w14:paraId="654F6A53" w14:textId="77777777" w:rsidR="007E69C9" w:rsidRPr="004D337E" w:rsidRDefault="007E69C9" w:rsidP="00D559F1">
            <w:pPr>
              <w:spacing w:after="0" w:line="240" w:lineRule="auto"/>
              <w:rPr>
                <w:rFonts w:ascii="Times New Roman" w:eastAsia="Times New Roman" w:hAnsi="Times New Roman" w:cs="Times New Roman"/>
                <w:sz w:val="24"/>
                <w:szCs w:val="24"/>
                <w:lang w:eastAsia="lv-LV"/>
              </w:rPr>
            </w:pPr>
          </w:p>
        </w:tc>
      </w:tr>
    </w:tbl>
    <w:p w14:paraId="7955A41A" w14:textId="77777777" w:rsidR="004D337E" w:rsidRPr="004D337E" w:rsidRDefault="004D337E" w:rsidP="004D337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21"/>
        <w:gridCol w:w="9337"/>
      </w:tblGrid>
      <w:tr w:rsidR="004D337E" w:rsidRPr="004D337E" w14:paraId="69F7A659" w14:textId="77777777" w:rsidTr="004D337E">
        <w:trPr>
          <w:trHeight w:val="450"/>
          <w:tblCellSpacing w:w="15" w:type="dxa"/>
        </w:trPr>
        <w:tc>
          <w:tcPr>
            <w:tcW w:w="1650" w:type="pct"/>
            <w:noWrap/>
            <w:vAlign w:val="bottom"/>
            <w:hideMark/>
          </w:tcPr>
          <w:p w14:paraId="65857AEB"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 amatpersona</w:t>
            </w:r>
          </w:p>
        </w:tc>
        <w:tc>
          <w:tcPr>
            <w:tcW w:w="3350" w:type="pct"/>
            <w:tcBorders>
              <w:bottom w:val="single" w:sz="6" w:space="0" w:color="auto"/>
            </w:tcBorders>
            <w:hideMark/>
          </w:tcPr>
          <w:p w14:paraId="4CC984C7"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02E1ED19" w14:textId="77777777" w:rsidTr="004D337E">
        <w:trPr>
          <w:tblCellSpacing w:w="15" w:type="dxa"/>
        </w:trPr>
        <w:tc>
          <w:tcPr>
            <w:tcW w:w="1650" w:type="pct"/>
            <w:hideMark/>
          </w:tcPr>
          <w:p w14:paraId="5CB59F4A"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3350" w:type="pct"/>
            <w:tcBorders>
              <w:top w:val="single" w:sz="6" w:space="0" w:color="auto"/>
            </w:tcBorders>
            <w:hideMark/>
          </w:tcPr>
          <w:p w14:paraId="3EACB67F"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(paraksts)*</w:t>
            </w:r>
          </w:p>
        </w:tc>
      </w:tr>
    </w:tbl>
    <w:p w14:paraId="30518C15" w14:textId="77777777" w:rsidR="004D337E" w:rsidRPr="004D337E" w:rsidRDefault="004D337E" w:rsidP="004D337E">
      <w:pPr>
        <w:spacing w:before="100" w:beforeAutospacing="1" w:after="100" w:afterAutospacing="1"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050"/>
        <w:gridCol w:w="908"/>
      </w:tblGrid>
      <w:tr w:rsidR="004D337E" w:rsidRPr="004D337E" w14:paraId="5232571C" w14:textId="77777777" w:rsidTr="004D337E">
        <w:trPr>
          <w:trHeight w:val="300"/>
          <w:tblCellSpacing w:w="15" w:type="dxa"/>
        </w:trPr>
        <w:tc>
          <w:tcPr>
            <w:tcW w:w="13005" w:type="dxa"/>
            <w:tcBorders>
              <w:top w:val="nil"/>
              <w:left w:val="nil"/>
              <w:bottom w:val="single" w:sz="6" w:space="0" w:color="000000"/>
              <w:right w:val="nil"/>
            </w:tcBorders>
            <w:hideMark/>
          </w:tcPr>
          <w:p w14:paraId="4377DDB8" w14:textId="77777777" w:rsidR="004D337E" w:rsidRPr="004D337E" w:rsidRDefault="00DE76F5" w:rsidP="00DE76F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Sindija Liepiņa</w:t>
            </w:r>
          </w:p>
        </w:tc>
        <w:tc>
          <w:tcPr>
            <w:tcW w:w="0" w:type="auto"/>
            <w:tcBorders>
              <w:top w:val="nil"/>
              <w:left w:val="nil"/>
              <w:bottom w:val="nil"/>
              <w:right w:val="nil"/>
            </w:tcBorders>
            <w:hideMark/>
          </w:tcPr>
          <w:p w14:paraId="6881AF6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6AEC6092" w14:textId="77777777" w:rsidTr="004D337E">
        <w:trPr>
          <w:trHeight w:val="300"/>
          <w:tblCellSpacing w:w="15" w:type="dxa"/>
        </w:trPr>
        <w:tc>
          <w:tcPr>
            <w:tcW w:w="13005" w:type="dxa"/>
            <w:tcBorders>
              <w:top w:val="single" w:sz="6" w:space="0" w:color="000000"/>
              <w:left w:val="nil"/>
              <w:bottom w:val="nil"/>
              <w:right w:val="nil"/>
            </w:tcBorders>
            <w:hideMark/>
          </w:tcPr>
          <w:p w14:paraId="7044A775"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(par projektu atbildīgās amatpersonas vārds un uzvārds)</w:t>
            </w:r>
          </w:p>
        </w:tc>
        <w:tc>
          <w:tcPr>
            <w:tcW w:w="0" w:type="auto"/>
            <w:tcBorders>
              <w:top w:val="nil"/>
              <w:left w:val="nil"/>
              <w:bottom w:val="nil"/>
              <w:right w:val="nil"/>
            </w:tcBorders>
            <w:hideMark/>
          </w:tcPr>
          <w:p w14:paraId="14D92EFD"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310617F7" w14:textId="77777777" w:rsidTr="004D337E">
        <w:trPr>
          <w:trHeight w:val="300"/>
          <w:tblCellSpacing w:w="15" w:type="dxa"/>
        </w:trPr>
        <w:tc>
          <w:tcPr>
            <w:tcW w:w="13005" w:type="dxa"/>
            <w:tcBorders>
              <w:top w:val="nil"/>
              <w:left w:val="nil"/>
              <w:bottom w:val="single" w:sz="6" w:space="0" w:color="000000"/>
              <w:right w:val="nil"/>
            </w:tcBorders>
            <w:hideMark/>
          </w:tcPr>
          <w:p w14:paraId="0941B7E1" w14:textId="77777777" w:rsidR="004D337E" w:rsidRPr="004D337E" w:rsidRDefault="00DE76F5" w:rsidP="004D33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ministrijas Krīzes vadības departamenta Operacionālās plānošanas nodaļas vecākā referente</w:t>
            </w:r>
            <w:r w:rsidR="004D337E" w:rsidRPr="004D337E">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3937E98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029C66D7" w14:textId="77777777" w:rsidTr="004D337E">
        <w:trPr>
          <w:trHeight w:val="300"/>
          <w:tblCellSpacing w:w="15" w:type="dxa"/>
        </w:trPr>
        <w:tc>
          <w:tcPr>
            <w:tcW w:w="13005" w:type="dxa"/>
            <w:tcBorders>
              <w:top w:val="single" w:sz="6" w:space="0" w:color="000000"/>
              <w:left w:val="nil"/>
              <w:bottom w:val="nil"/>
              <w:right w:val="nil"/>
            </w:tcBorders>
            <w:hideMark/>
          </w:tcPr>
          <w:p w14:paraId="51D21C3F"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(amats)</w:t>
            </w:r>
          </w:p>
        </w:tc>
        <w:tc>
          <w:tcPr>
            <w:tcW w:w="0" w:type="auto"/>
            <w:tcBorders>
              <w:top w:val="nil"/>
              <w:left w:val="nil"/>
              <w:bottom w:val="nil"/>
              <w:right w:val="nil"/>
            </w:tcBorders>
            <w:hideMark/>
          </w:tcPr>
          <w:p w14:paraId="04927B9A"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1CC2D88A" w14:textId="77777777" w:rsidTr="004D337E">
        <w:trPr>
          <w:trHeight w:val="300"/>
          <w:tblCellSpacing w:w="15" w:type="dxa"/>
        </w:trPr>
        <w:tc>
          <w:tcPr>
            <w:tcW w:w="13005" w:type="dxa"/>
            <w:tcBorders>
              <w:top w:val="nil"/>
              <w:left w:val="nil"/>
              <w:bottom w:val="single" w:sz="6" w:space="0" w:color="000000"/>
              <w:right w:val="nil"/>
            </w:tcBorders>
            <w:hideMark/>
          </w:tcPr>
          <w:p w14:paraId="4521F9CE" w14:textId="77777777" w:rsidR="004D337E" w:rsidRPr="004D337E" w:rsidRDefault="00DE76F5" w:rsidP="004D33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6733 5153</w:t>
            </w:r>
            <w:r w:rsidR="004D337E" w:rsidRPr="004D337E">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43793A6A"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171666FE" w14:textId="77777777" w:rsidTr="004D337E">
        <w:trPr>
          <w:trHeight w:val="300"/>
          <w:tblCellSpacing w:w="15" w:type="dxa"/>
        </w:trPr>
        <w:tc>
          <w:tcPr>
            <w:tcW w:w="13005" w:type="dxa"/>
            <w:tcBorders>
              <w:top w:val="single" w:sz="6" w:space="0" w:color="000000"/>
              <w:left w:val="nil"/>
              <w:bottom w:val="nil"/>
              <w:right w:val="nil"/>
            </w:tcBorders>
            <w:hideMark/>
          </w:tcPr>
          <w:p w14:paraId="79F9EC6A"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lastRenderedPageBreak/>
              <w:t>(tālruņa un faksa numurs)</w:t>
            </w:r>
          </w:p>
        </w:tc>
        <w:tc>
          <w:tcPr>
            <w:tcW w:w="0" w:type="auto"/>
            <w:tcBorders>
              <w:top w:val="nil"/>
              <w:left w:val="nil"/>
              <w:bottom w:val="nil"/>
              <w:right w:val="nil"/>
            </w:tcBorders>
            <w:hideMark/>
          </w:tcPr>
          <w:p w14:paraId="03EF86E3"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4910E425" w14:textId="77777777" w:rsidTr="004D337E">
        <w:trPr>
          <w:trHeight w:val="300"/>
          <w:tblCellSpacing w:w="15" w:type="dxa"/>
        </w:trPr>
        <w:tc>
          <w:tcPr>
            <w:tcW w:w="13005" w:type="dxa"/>
            <w:tcBorders>
              <w:top w:val="nil"/>
              <w:left w:val="nil"/>
              <w:bottom w:val="single" w:sz="6" w:space="0" w:color="000000"/>
              <w:right w:val="nil"/>
            </w:tcBorders>
            <w:hideMark/>
          </w:tcPr>
          <w:p w14:paraId="5179DE69" w14:textId="77777777" w:rsidR="004D337E" w:rsidRPr="004D337E" w:rsidRDefault="00DE76F5" w:rsidP="004D337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sindija.liepina@mod.gov.lv</w:t>
            </w:r>
            <w:r w:rsidR="004D337E" w:rsidRPr="004D337E">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4B564E91"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14:paraId="5D2E4EF1" w14:textId="77777777" w:rsidTr="004D337E">
        <w:trPr>
          <w:trHeight w:val="300"/>
          <w:tblCellSpacing w:w="15" w:type="dxa"/>
        </w:trPr>
        <w:tc>
          <w:tcPr>
            <w:tcW w:w="13005" w:type="dxa"/>
            <w:tcBorders>
              <w:top w:val="single" w:sz="6" w:space="0" w:color="000000"/>
              <w:left w:val="nil"/>
              <w:bottom w:val="nil"/>
              <w:right w:val="nil"/>
            </w:tcBorders>
            <w:hideMark/>
          </w:tcPr>
          <w:p w14:paraId="280D469F" w14:textId="77777777"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(e-pasta adrese)</w:t>
            </w:r>
          </w:p>
        </w:tc>
        <w:tc>
          <w:tcPr>
            <w:tcW w:w="0" w:type="auto"/>
            <w:tcBorders>
              <w:top w:val="nil"/>
              <w:left w:val="nil"/>
              <w:bottom w:val="nil"/>
              <w:right w:val="nil"/>
            </w:tcBorders>
            <w:hideMark/>
          </w:tcPr>
          <w:p w14:paraId="205AF9CF" w14:textId="77777777"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14:paraId="54975E19" w14:textId="77777777" w:rsidR="00411BF4" w:rsidRDefault="004B1B8B"/>
    <w:sectPr w:rsidR="00411BF4" w:rsidSect="00860D0C">
      <w:headerReference w:type="default" r:id="rId8"/>
      <w:footerReference w:type="defaul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5041" w14:textId="77777777" w:rsidR="004B1B8B" w:rsidRDefault="004B1B8B" w:rsidP="008C2CF8">
      <w:pPr>
        <w:spacing w:after="0" w:line="240" w:lineRule="auto"/>
      </w:pPr>
      <w:r>
        <w:separator/>
      </w:r>
    </w:p>
  </w:endnote>
  <w:endnote w:type="continuationSeparator" w:id="0">
    <w:p w14:paraId="52A14568" w14:textId="77777777" w:rsidR="004B1B8B" w:rsidRDefault="004B1B8B" w:rsidP="008C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052F" w14:textId="77777777" w:rsidR="008C2CF8" w:rsidRPr="008C2CF8" w:rsidRDefault="005069AC">
    <w:pPr>
      <w:pStyle w:val="Footer"/>
      <w:rPr>
        <w:rFonts w:ascii="Times New Roman" w:hAnsi="Times New Roman" w:cs="Times New Roman"/>
        <w:sz w:val="20"/>
        <w:szCs w:val="20"/>
      </w:rPr>
    </w:pPr>
    <w:r>
      <w:rPr>
        <w:rFonts w:ascii="Times New Roman" w:hAnsi="Times New Roman" w:cs="Times New Roman"/>
        <w:sz w:val="20"/>
        <w:szCs w:val="20"/>
      </w:rPr>
      <w:t>AIMIzz_</w:t>
    </w:r>
    <w:r w:rsidR="00843D51">
      <w:rPr>
        <w:rFonts w:ascii="Times New Roman" w:hAnsi="Times New Roman" w:cs="Times New Roman"/>
        <w:sz w:val="20"/>
        <w:szCs w:val="20"/>
      </w:rPr>
      <w:t>28</w:t>
    </w:r>
    <w:r w:rsidR="00A621EC">
      <w:rPr>
        <w:rFonts w:ascii="Times New Roman" w:hAnsi="Times New Roman" w:cs="Times New Roman"/>
        <w:sz w:val="20"/>
        <w:szCs w:val="20"/>
      </w:rPr>
      <w:t>05</w:t>
    </w:r>
    <w:r w:rsidR="008C2CF8" w:rsidRPr="008C2CF8">
      <w:rPr>
        <w:rFonts w:ascii="Times New Roman" w:hAnsi="Times New Roman" w:cs="Times New Roman"/>
        <w:sz w:val="20"/>
        <w:szCs w:val="20"/>
      </w:rPr>
      <w:t>19_VSS-943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186D" w14:textId="77777777" w:rsidR="004B1B8B" w:rsidRDefault="004B1B8B" w:rsidP="008C2CF8">
      <w:pPr>
        <w:spacing w:after="0" w:line="240" w:lineRule="auto"/>
      </w:pPr>
      <w:r>
        <w:separator/>
      </w:r>
    </w:p>
  </w:footnote>
  <w:footnote w:type="continuationSeparator" w:id="0">
    <w:p w14:paraId="48C03CE1" w14:textId="77777777" w:rsidR="004B1B8B" w:rsidRDefault="004B1B8B" w:rsidP="008C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96428"/>
      <w:docPartObj>
        <w:docPartGallery w:val="Page Numbers (Top of Page)"/>
        <w:docPartUnique/>
      </w:docPartObj>
    </w:sdtPr>
    <w:sdtEndPr>
      <w:rPr>
        <w:noProof/>
      </w:rPr>
    </w:sdtEndPr>
    <w:sdtContent>
      <w:p w14:paraId="59817B7E" w14:textId="784F3CC0" w:rsidR="00860D0C" w:rsidRDefault="00860D0C" w:rsidP="00860D0C">
        <w:pPr>
          <w:pStyle w:val="Header"/>
          <w:jc w:val="center"/>
        </w:pPr>
        <w:r>
          <w:fldChar w:fldCharType="begin"/>
        </w:r>
        <w:r>
          <w:instrText xml:space="preserve"> PAGE   \* MERGEFORMAT </w:instrText>
        </w:r>
        <w:r>
          <w:fldChar w:fldCharType="separate"/>
        </w:r>
        <w:r w:rsidR="00D42D11">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7E"/>
    <w:rsid w:val="000740EE"/>
    <w:rsid w:val="001A6FB5"/>
    <w:rsid w:val="001F7E0F"/>
    <w:rsid w:val="00232849"/>
    <w:rsid w:val="00283764"/>
    <w:rsid w:val="002B7096"/>
    <w:rsid w:val="002D5D56"/>
    <w:rsid w:val="003921EE"/>
    <w:rsid w:val="00471A56"/>
    <w:rsid w:val="00475FAA"/>
    <w:rsid w:val="004B1B8B"/>
    <w:rsid w:val="004B5445"/>
    <w:rsid w:val="004C0641"/>
    <w:rsid w:val="004D337E"/>
    <w:rsid w:val="004D3719"/>
    <w:rsid w:val="004F7D8E"/>
    <w:rsid w:val="005069AC"/>
    <w:rsid w:val="00586B59"/>
    <w:rsid w:val="005D6040"/>
    <w:rsid w:val="00676B71"/>
    <w:rsid w:val="006A36E1"/>
    <w:rsid w:val="006B26AF"/>
    <w:rsid w:val="00702777"/>
    <w:rsid w:val="007074DC"/>
    <w:rsid w:val="007C2B6E"/>
    <w:rsid w:val="007E5A7E"/>
    <w:rsid w:val="007E69C9"/>
    <w:rsid w:val="008055D2"/>
    <w:rsid w:val="00822634"/>
    <w:rsid w:val="00822D09"/>
    <w:rsid w:val="00843D51"/>
    <w:rsid w:val="00860D0C"/>
    <w:rsid w:val="008A6161"/>
    <w:rsid w:val="008C2CF8"/>
    <w:rsid w:val="008E31C9"/>
    <w:rsid w:val="009E0207"/>
    <w:rsid w:val="00A06103"/>
    <w:rsid w:val="00A123DB"/>
    <w:rsid w:val="00A532FE"/>
    <w:rsid w:val="00A621EC"/>
    <w:rsid w:val="00A86ECA"/>
    <w:rsid w:val="00AA63C5"/>
    <w:rsid w:val="00B25515"/>
    <w:rsid w:val="00BC1169"/>
    <w:rsid w:val="00C5408B"/>
    <w:rsid w:val="00C85F75"/>
    <w:rsid w:val="00D42D11"/>
    <w:rsid w:val="00D45F60"/>
    <w:rsid w:val="00D559F1"/>
    <w:rsid w:val="00D64FAB"/>
    <w:rsid w:val="00D87969"/>
    <w:rsid w:val="00DC7558"/>
    <w:rsid w:val="00DE76F5"/>
    <w:rsid w:val="00E92C58"/>
    <w:rsid w:val="00F423BC"/>
    <w:rsid w:val="00F43ECE"/>
    <w:rsid w:val="00F97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6A8CE"/>
  <w15:chartTrackingRefBased/>
  <w15:docId w15:val="{CE2E90F3-7899-4448-9EB5-425E4AD4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4D33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4D337E"/>
    <w:pPr>
      <w:spacing w:before="75" w:after="75" w:line="240" w:lineRule="auto"/>
    </w:pPr>
    <w:rPr>
      <w:rFonts w:ascii="Times New Roman" w:eastAsia="Times New Roman" w:hAnsi="Times New Roman" w:cs="Times New Roman"/>
      <w:sz w:val="24"/>
      <w:szCs w:val="24"/>
      <w:lang w:val="en-US" w:eastAsia="lv-LV"/>
    </w:rPr>
  </w:style>
  <w:style w:type="character" w:styleId="Hyperlink">
    <w:name w:val="Hyperlink"/>
    <w:basedOn w:val="DefaultParagraphFont"/>
    <w:uiPriority w:val="99"/>
    <w:unhideWhenUsed/>
    <w:rsid w:val="004D337E"/>
    <w:rPr>
      <w:color w:val="0563C1" w:themeColor="hyperlink"/>
      <w:u w:val="single"/>
    </w:rPr>
  </w:style>
  <w:style w:type="paragraph" w:styleId="Header">
    <w:name w:val="header"/>
    <w:basedOn w:val="Normal"/>
    <w:link w:val="HeaderChar"/>
    <w:uiPriority w:val="99"/>
    <w:unhideWhenUsed/>
    <w:rsid w:val="008C2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2CF8"/>
  </w:style>
  <w:style w:type="paragraph" w:styleId="Footer">
    <w:name w:val="footer"/>
    <w:basedOn w:val="Normal"/>
    <w:link w:val="FooterChar"/>
    <w:uiPriority w:val="99"/>
    <w:unhideWhenUsed/>
    <w:rsid w:val="008C2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CF8"/>
  </w:style>
  <w:style w:type="paragraph" w:styleId="BalloonText">
    <w:name w:val="Balloon Text"/>
    <w:basedOn w:val="Normal"/>
    <w:link w:val="BalloonTextChar"/>
    <w:uiPriority w:val="99"/>
    <w:semiHidden/>
    <w:unhideWhenUsed/>
    <w:rsid w:val="00C5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8B"/>
    <w:rPr>
      <w:rFonts w:ascii="Segoe UI" w:hAnsi="Segoe UI" w:cs="Segoe UI"/>
      <w:sz w:val="18"/>
      <w:szCs w:val="18"/>
    </w:rPr>
  </w:style>
  <w:style w:type="paragraph" w:styleId="ListParagraph">
    <w:name w:val="List Paragraph"/>
    <w:basedOn w:val="Normal"/>
    <w:uiPriority w:val="34"/>
    <w:qFormat/>
    <w:rsid w:val="00DC7558"/>
    <w:pPr>
      <w:ind w:left="720"/>
      <w:contextualSpacing/>
    </w:pPr>
  </w:style>
  <w:style w:type="paragraph" w:styleId="CommentText">
    <w:name w:val="annotation text"/>
    <w:basedOn w:val="Normal"/>
    <w:link w:val="CommentTextChar"/>
    <w:uiPriority w:val="99"/>
    <w:unhideWhenUsed/>
    <w:rsid w:val="008A6161"/>
    <w:pPr>
      <w:spacing w:line="240" w:lineRule="auto"/>
    </w:pPr>
    <w:rPr>
      <w:sz w:val="20"/>
      <w:szCs w:val="20"/>
    </w:rPr>
  </w:style>
  <w:style w:type="character" w:customStyle="1" w:styleId="CommentTextChar">
    <w:name w:val="Comment Text Char"/>
    <w:basedOn w:val="DefaultParagraphFont"/>
    <w:link w:val="CommentText"/>
    <w:uiPriority w:val="99"/>
    <w:rsid w:val="008A61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1603">
      <w:bodyDiv w:val="1"/>
      <w:marLeft w:val="0"/>
      <w:marRight w:val="0"/>
      <w:marTop w:val="0"/>
      <w:marBottom w:val="0"/>
      <w:divBdr>
        <w:top w:val="none" w:sz="0" w:space="0" w:color="auto"/>
        <w:left w:val="none" w:sz="0" w:space="0" w:color="auto"/>
        <w:bottom w:val="none" w:sz="0" w:space="0" w:color="auto"/>
        <w:right w:val="none" w:sz="0" w:space="0" w:color="auto"/>
      </w:divBdr>
      <w:divsChild>
        <w:div w:id="2052025475">
          <w:marLeft w:val="0"/>
          <w:marRight w:val="0"/>
          <w:marTop w:val="0"/>
          <w:marBottom w:val="0"/>
          <w:divBdr>
            <w:top w:val="none" w:sz="0" w:space="0" w:color="auto"/>
            <w:left w:val="none" w:sz="0" w:space="0" w:color="auto"/>
            <w:bottom w:val="none" w:sz="0" w:space="0" w:color="auto"/>
            <w:right w:val="none" w:sz="0" w:space="0" w:color="auto"/>
          </w:divBdr>
        </w:div>
        <w:div w:id="57095950">
          <w:marLeft w:val="0"/>
          <w:marRight w:val="0"/>
          <w:marTop w:val="0"/>
          <w:marBottom w:val="0"/>
          <w:divBdr>
            <w:top w:val="none" w:sz="0" w:space="0" w:color="auto"/>
            <w:left w:val="none" w:sz="0" w:space="0" w:color="auto"/>
            <w:bottom w:val="none" w:sz="0" w:space="0" w:color="auto"/>
            <w:right w:val="none" w:sz="0" w:space="0" w:color="auto"/>
          </w:divBdr>
        </w:div>
      </w:divsChild>
    </w:div>
    <w:div w:id="1029447710">
      <w:bodyDiv w:val="1"/>
      <w:marLeft w:val="0"/>
      <w:marRight w:val="0"/>
      <w:marTop w:val="0"/>
      <w:marBottom w:val="0"/>
      <w:divBdr>
        <w:top w:val="none" w:sz="0" w:space="0" w:color="auto"/>
        <w:left w:val="none" w:sz="0" w:space="0" w:color="auto"/>
        <w:bottom w:val="none" w:sz="0" w:space="0" w:color="auto"/>
        <w:right w:val="none" w:sz="0" w:space="0" w:color="auto"/>
      </w:divBdr>
      <w:divsChild>
        <w:div w:id="1023439765">
          <w:marLeft w:val="0"/>
          <w:marRight w:val="0"/>
          <w:marTop w:val="0"/>
          <w:marBottom w:val="0"/>
          <w:divBdr>
            <w:top w:val="none" w:sz="0" w:space="0" w:color="auto"/>
            <w:left w:val="none" w:sz="0" w:space="0" w:color="auto"/>
            <w:bottom w:val="none" w:sz="0" w:space="0" w:color="auto"/>
            <w:right w:val="none" w:sz="0" w:space="0" w:color="auto"/>
          </w:divBdr>
        </w:div>
        <w:div w:id="118111852">
          <w:marLeft w:val="0"/>
          <w:marRight w:val="0"/>
          <w:marTop w:val="0"/>
          <w:marBottom w:val="0"/>
          <w:divBdr>
            <w:top w:val="none" w:sz="0" w:space="0" w:color="auto"/>
            <w:left w:val="none" w:sz="0" w:space="0" w:color="auto"/>
            <w:bottom w:val="none" w:sz="0" w:space="0" w:color="auto"/>
            <w:right w:val="none" w:sz="0" w:space="0" w:color="auto"/>
          </w:divBdr>
        </w:div>
      </w:divsChild>
    </w:div>
    <w:div w:id="1243366842">
      <w:bodyDiv w:val="1"/>
      <w:marLeft w:val="0"/>
      <w:marRight w:val="0"/>
      <w:marTop w:val="0"/>
      <w:marBottom w:val="0"/>
      <w:divBdr>
        <w:top w:val="none" w:sz="0" w:space="0" w:color="auto"/>
        <w:left w:val="none" w:sz="0" w:space="0" w:color="auto"/>
        <w:bottom w:val="none" w:sz="0" w:space="0" w:color="auto"/>
        <w:right w:val="none" w:sz="0" w:space="0" w:color="auto"/>
      </w:divBdr>
    </w:div>
    <w:div w:id="16155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finanses.lv/raksti/gramatvediba/gramatvediba/kur-reglamenteti-budzeta-iestazu-reprezentacijas-izdevumi/59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CBD2-7A1D-477D-B777-B431DC97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7540</Words>
  <Characters>4299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Anželika Ņikitina</dc:creator>
  <cp:keywords/>
  <dc:description/>
  <cp:lastModifiedBy>Laimdota Adlere</cp:lastModifiedBy>
  <cp:revision>2</cp:revision>
  <cp:lastPrinted>2019-04-26T10:15:00Z</cp:lastPrinted>
  <dcterms:created xsi:type="dcterms:W3CDTF">2019-05-30T07:16:00Z</dcterms:created>
  <dcterms:modified xsi:type="dcterms:W3CDTF">2019-05-30T07:16:00Z</dcterms:modified>
</cp:coreProperties>
</file>